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line="360" w:lineRule="auto"/>
        <w:jc w:val="center"/>
        <w:rPr>
          <w:rFonts w:ascii="黑体" w:eastAsia="黑体" w:hAnsi="黑体" w:cs="黑体"/>
          <w:sz w:val="72"/>
        </w:rPr>
      </w:pPr>
      <w:r>
        <w:rPr>
          <w:rFonts w:ascii="黑体" w:eastAsia="黑体" w:hAnsi="黑体" w:cs="黑体"/>
          <w:sz w:val="72"/>
        </w:rPr>
        <w:t>XXXX大学</w:t>
      </w:r>
    </w:p>
    <w:p w:rsidR="00A77B3E">
      <w:pPr>
        <w:spacing w:line="360" w:lineRule="auto"/>
        <w:jc w:val="center"/>
        <w:rPr>
          <w:rFonts w:ascii="黑体" w:eastAsia="黑体" w:hAnsi="黑体" w:cs="黑体"/>
          <w:sz w:val="52"/>
        </w:rPr>
      </w:pPr>
      <w:r>
        <w:rPr>
          <w:rFonts w:ascii="黑体" w:eastAsia="黑体" w:hAnsi="黑体" w:cs="黑体"/>
          <w:sz w:val="52"/>
        </w:rPr>
        <w:t>毕业（设计）论文</w:t>
      </w:r>
    </w:p>
    <w:p w:rsidR="00A77B3E">
      <w:pPr>
        <w:spacing w:line="360" w:lineRule="auto"/>
        <w:jc w:val="center"/>
        <w:rPr>
          <w:rFonts w:ascii="黑体" w:eastAsia="黑体" w:hAnsi="黑体" w:cs="黑体"/>
          <w:sz w:val="52"/>
        </w:rPr>
      </w:pPr>
    </w:p>
    <w:p w:rsidR="00A77B3E">
      <w:pPr>
        <w:spacing w:line="360" w:lineRule="auto"/>
        <w:jc w:val="center"/>
        <w:rPr>
          <w:rFonts w:ascii="黑体" w:eastAsia="黑体" w:hAnsi="黑体" w:cs="黑体"/>
          <w:sz w:val="36"/>
        </w:rPr>
      </w:pPr>
      <w:r>
        <w:rPr>
          <w:rFonts w:ascii="黑体" w:eastAsia="黑体" w:hAnsi="黑体" w:cs="黑体"/>
          <w:sz w:val="36"/>
        </w:rPr>
        <w:t>（校徽）</w:t>
      </w:r>
    </w:p>
    <w:p w:rsidR="00A77B3E">
      <w:pPr>
        <w:spacing w:line="360" w:lineRule="auto"/>
        <w:jc w:val="center"/>
        <w:rPr>
          <w:rFonts w:ascii="黑体" w:eastAsia="黑体" w:hAnsi="黑体" w:cs="黑体"/>
          <w:sz w:val="36"/>
        </w:rPr>
      </w:pPr>
    </w:p>
    <w:tbl>
      <w:tblPr>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984"/>
        <w:gridCol w:w="4818"/>
      </w:tblGrid>
      <w:tr>
        <w:tblPrEx>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论文题目：</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r>
              <w:rPr>
                <w:rFonts w:ascii="黑体" w:eastAsia="黑体" w:hAnsi="黑体" w:cs="黑体"/>
                <w:b w:val="0"/>
                <w:sz w:val="28"/>
              </w:rPr>
              <w:t>数据分析背景下大学生择业价值观</w:t>
            </w: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专业班级：</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    号：</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学生姓名：</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指导教师：</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电    话：</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学院名称：</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bl>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宋体" w:eastAsia="宋体" w:hAnsi="宋体" w:cs="宋体"/>
          <w:b/>
          <w:sz w:val="30"/>
        </w:rPr>
      </w:pPr>
      <w:r>
        <w:rPr>
          <w:rFonts w:ascii="宋体" w:eastAsia="宋体" w:hAnsi="宋体" w:cs="宋体"/>
          <w:b/>
          <w:sz w:val="30"/>
        </w:rPr>
        <w:t>完成日期：      年   月   日</w:t>
      </w:r>
    </w:p>
    <w:p w:rsidR="00A77B3E">
      <w:pPr>
        <w:spacing w:line="241" w:lineRule="auto"/>
        <w:jc w:val="center"/>
        <w:rPr>
          <w:rFonts w:ascii="黑体" w:eastAsia="黑体" w:hAnsi="黑体" w:cs="黑体"/>
          <w:b w:val="0"/>
          <w:color w:val="000000"/>
          <w:sz w:val="36"/>
        </w:rPr>
      </w:pPr>
      <w:r>
        <w:rPr>
          <w:rFonts w:ascii="Times New Roman" w:eastAsia="Times New Roman" w:hAnsi="Times New Roman" w:cs="Times New Roman"/>
          <w:b w:val="0"/>
          <w:color w:val="000000"/>
          <w:sz w:val="36"/>
        </w:rPr>
        <w:t xml:space="preserve">X X </w:t>
      </w:r>
      <w:r>
        <w:rPr>
          <w:rFonts w:ascii="黑体" w:eastAsia="黑体" w:hAnsi="黑体" w:cs="黑体"/>
          <w:b w:val="0"/>
          <w:color w:val="000000"/>
          <w:sz w:val="36"/>
        </w:rPr>
        <w:t>大</w:t>
      </w:r>
      <w:r>
        <w:rPr>
          <w:rFonts w:ascii="Times New Roman" w:eastAsia="Times New Roman" w:hAnsi="Times New Roman" w:cs="Times New Roman"/>
          <w:b w:val="0"/>
          <w:color w:val="000000"/>
          <w:sz w:val="36"/>
        </w:rPr>
        <w:t xml:space="preserve"> </w:t>
      </w:r>
      <w:r>
        <w:rPr>
          <w:rFonts w:ascii="黑体" w:eastAsia="黑体" w:hAnsi="黑体" w:cs="黑体"/>
          <w:b w:val="0"/>
          <w:color w:val="000000"/>
          <w:sz w:val="36"/>
        </w:rPr>
        <w:t>学</w:t>
      </w:r>
    </w:p>
    <w:p w:rsidR="00A77B3E">
      <w:pPr>
        <w:spacing w:before="409" w:after="409" w:line="241" w:lineRule="auto"/>
        <w:jc w:val="center"/>
        <w:rPr>
          <w:rFonts w:ascii="黑体" w:eastAsia="黑体" w:hAnsi="黑体" w:cs="黑体"/>
          <w:b w:val="0"/>
          <w:color w:val="000000"/>
          <w:sz w:val="36"/>
        </w:rPr>
      </w:pPr>
      <w:r>
        <w:rPr>
          <w:rFonts w:ascii="黑体" w:eastAsia="黑体" w:hAnsi="黑体" w:cs="黑体"/>
          <w:b w:val="0"/>
          <w:color w:val="000000"/>
          <w:sz w:val="36"/>
        </w:rPr>
        <w:t>毕业论文（设计）原创性声明</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人郑重声明：所呈交的论文（设计）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rsidR="00A77B3E">
      <w:pPr>
        <w:spacing w:before="409" w:after="818" w:line="241" w:lineRule="auto"/>
        <w:ind w:firstLineChars="0"/>
        <w:jc w:val="center"/>
        <w:rPr>
          <w:rFonts w:ascii="宋体" w:eastAsia="宋体" w:hAnsi="宋体" w:cs="宋体"/>
          <w:b w:val="0"/>
          <w:color w:val="333333"/>
          <w:sz w:val="24"/>
        </w:rPr>
      </w:pPr>
      <w:r>
        <w:rPr>
          <w:rFonts w:ascii="宋体" w:eastAsia="宋体" w:hAnsi="宋体" w:cs="宋体"/>
          <w:b w:val="0"/>
          <w:color w:val="333333"/>
          <w:sz w:val="24"/>
        </w:rPr>
        <w:t>学生签名：</w:t>
        <w:tab/>
        <w:tab/>
        <w:tab/>
        <w:tab/>
        <w:tab/>
        <w:tab/>
        <w:t>日期：20    年  月  日</w:t>
      </w:r>
    </w:p>
    <w:p w:rsidR="00A77B3E">
      <w:pPr>
        <w:spacing w:before="409" w:after="409" w:line="241" w:lineRule="auto"/>
        <w:jc w:val="center"/>
        <w:rPr>
          <w:rFonts w:ascii="黑体" w:eastAsia="黑体" w:hAnsi="黑体" w:cs="黑体"/>
          <w:b w:val="0"/>
          <w:color w:val="000000"/>
          <w:sz w:val="36"/>
        </w:rPr>
      </w:pPr>
      <w:r>
        <w:rPr>
          <w:rFonts w:ascii="黑体" w:eastAsia="黑体" w:hAnsi="黑体" w:cs="黑体"/>
          <w:b w:val="0"/>
          <w:color w:val="000000"/>
          <w:sz w:val="36"/>
        </w:rPr>
        <w:t>毕业论文（设计）版权使用授权书</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毕业论文（设计）作者完全了解学校有关保留、使用论文（设计）的规定，同意学校保留并向国家有关部门或机构送交论文（设计）的复印件和电子版，允许论文（设计）被查阅和借阅。本人授权XX大学可以将本论文（设计）的全部或部分内容编入有关数据库进行检索，可以采用影印、缩印或扫描等复制手段保存和汇编本论文（设计）。</w:t>
      </w: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学生签名：</w:t>
        <w:tab/>
        <w:tab/>
        <w:tab/>
        <w:tab/>
        <w:tab/>
        <w:t xml:space="preserve">     日期：20    年  月  日</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导师签名：</w:t>
        <w:tab/>
        <w:tab/>
        <w:tab/>
        <w:tab/>
        <w:tab/>
        <w:t xml:space="preserve">     日期：20    年  月  日</w:t>
      </w:r>
    </w:p>
    <w:p w:rsidR="00A77B3E">
      <w:pPr>
        <w:spacing w:before="300" w:after="300" w:line="600" w:lineRule="atLeast"/>
        <w:jc w:val="center"/>
        <w:rPr>
          <w:rFonts w:ascii="宋体" w:eastAsia="宋体" w:hAnsi="宋体" w:cs="宋体"/>
          <w:b/>
          <w:color w:val="333333"/>
          <w:sz w:val="32"/>
        </w:rPr>
      </w:pPr>
      <w:r>
        <w:rPr>
          <w:rFonts w:ascii="宋体" w:eastAsia="宋体" w:hAnsi="宋体" w:cs="宋体"/>
          <w:b w:val="0"/>
          <w:color w:val="333333"/>
          <w:sz w:val="24"/>
        </w:rPr>
        <w:br w:type="page"/>
      </w:r>
      <w:r>
        <w:rPr>
          <w:rFonts w:ascii="宋体" w:eastAsia="宋体" w:hAnsi="宋体" w:cs="宋体"/>
          <w:b/>
          <w:color w:val="333333"/>
          <w:sz w:val="32"/>
        </w:rPr>
        <w:t>摘要</w:t>
      </w:r>
    </w:p>
    <w:p w:rsidR="00A77B3E">
      <w:pPr>
        <w:spacing w:before="0" w:after="0" w:line="450" w:lineRule="atLeast"/>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文旨在探讨大学生使用各种数据分析手段对工作价值观的影响,以期为我国大数据技术的发展以及大学生择业提供理论指导。通过文献资料法、问卷调查法、相关性分析法和多元回归分析法,运用SPSS20.0软件进行统计数据分析,研究结论如下:(1)大学生常使用的数据分析手段为社交网络、网上搜索引擎、网上调查问卷等;社交网络、网上搜索引擎、网上调查问卷是大学生使用最频繁的数据分析手段;(2)大学生的价值取向中实用主义和精神主义占比较高,唯利主义和享乐主义占比较低;(3)运动、家教、社交、传媒和交友圈均正向促进大学生的自主性,大学生在这些方面取得了较好的成绩。</w:t>
      </w:r>
    </w:p>
    <w:p w:rsidR="00A77B3E">
      <w:pPr>
        <w:spacing w:before="0" w:after="0" w:line="450" w:lineRule="atLeast"/>
        <w:ind w:firstLine="480" w:firstLineChars="200"/>
        <w:jc w:val="left"/>
        <w:rPr>
          <w:rFonts w:ascii="宋体" w:eastAsia="宋体" w:hAnsi="宋体" w:cs="宋体"/>
          <w:b w:val="0"/>
          <w:color w:val="333333"/>
          <w:sz w:val="24"/>
        </w:rPr>
      </w:pPr>
      <w:r>
        <w:rPr>
          <w:rFonts w:ascii="宋体" w:eastAsia="宋体" w:hAnsi="宋体" w:cs="宋体"/>
          <w:b/>
          <w:color w:val="333333"/>
          <w:sz w:val="24"/>
        </w:rPr>
        <w:t>关键词：</w:t>
      </w:r>
      <w:r>
        <w:rPr>
          <w:rFonts w:ascii="宋体" w:eastAsia="宋体" w:hAnsi="宋体" w:cs="宋体"/>
          <w:b w:val="0"/>
          <w:color w:val="333333"/>
          <w:sz w:val="24"/>
        </w:rPr>
        <w:t>1. 大学生;2. 数据分析手段;3. 工作价值观;4. 实用主义;5. 精神主义</w:t>
      </w:r>
    </w:p>
    <w:p w:rsidR="00A77B3E">
      <w:pPr>
        <w:spacing w:before="300" w:after="300" w:line="600" w:lineRule="atLeast"/>
        <w:jc w:val="center"/>
        <w:rPr>
          <w:rFonts w:ascii="Times New Roman" w:eastAsia="Times New Roman" w:hAnsi="Times New Roman" w:cs="Times New Roman"/>
          <w:b/>
          <w:color w:val="333333"/>
          <w:sz w:val="32"/>
        </w:rPr>
      </w:pPr>
      <w:r>
        <w:rPr>
          <w:rFonts w:ascii="宋体" w:eastAsia="宋体" w:hAnsi="宋体" w:cs="宋体"/>
          <w:b w:val="0"/>
          <w:color w:val="333333"/>
          <w:sz w:val="24"/>
        </w:rPr>
        <w:br w:type="page"/>
      </w:r>
      <w:r>
        <w:rPr>
          <w:rFonts w:ascii="Times New Roman" w:eastAsia="Times New Roman" w:hAnsi="Times New Roman" w:cs="Times New Roman"/>
          <w:b/>
          <w:color w:val="333333"/>
          <w:sz w:val="32"/>
        </w:rPr>
        <w:t>Abstract</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This article aims to explore the impact of various data analysis methods on the work values of college students, in order to provide theoretical guidance for the development of big data technology in China and the career choices of college students. Through literature review, questionnaire survey, correlation analysis, and multiple regression analysis, statistical data analysis was conducted using SPSS20.0 software. The research findings are as follows: (1) The commonly used data analysis methods by college students include social networks, online search engines, and online surveys; social networks, online search engines, and online surveys are the most frequently used data analysis methods by college students; (2) In terms of value orientation, college students have a higher proportion of pragmatism and idealism, while utilitarianism and hedonism have a lower proportion; (3) Sports, family education, social interaction, media, and circle of friends all positively promote the autonomy of college students, and college students have achieved good results in these aspects.</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color w:val="333333"/>
          <w:sz w:val="24"/>
        </w:rPr>
        <w:t>Keyword：</w:t>
      </w:r>
      <w:r>
        <w:rPr>
          <w:rFonts w:ascii="Times New Roman" w:eastAsia="Times New Roman" w:hAnsi="Times New Roman" w:cs="Times New Roman"/>
          <w:b w:val="0"/>
          <w:color w:val="333333"/>
          <w:sz w:val="24"/>
        </w:rPr>
        <w:t>1. College students;2. Data analysis methods;3. Work values;4. Pragmatism;5. Spiritualism</w:t>
      </w:r>
    </w:p>
    <w:p w:rsidR="00A77B3E">
      <w:pPr>
        <w:pStyle w:val="BodyText"/>
        <w:spacing w:before="0" w:after="0"/>
        <w:jc w:val="center"/>
        <w:rPr>
          <w:rFonts w:ascii="Times New Roman" w:eastAsia="Times New Roman" w:hAnsi="Times New Roman" w:cs="Times New Roman"/>
          <w:b/>
          <w:i w:val="0"/>
          <w:color w:val="333333"/>
          <w:sz w:val="24"/>
        </w:rPr>
      </w:pPr>
      <w:r>
        <w:rPr>
          <w:rFonts w:ascii="Times New Roman" w:eastAsia="Times New Roman" w:hAnsi="Times New Roman" w:cs="Times New Roman"/>
          <w:b w:val="0"/>
          <w:color w:val="333333"/>
          <w:sz w:val="24"/>
        </w:rPr>
        <w:br w:type="page"/>
      </w:r>
      <w:r>
        <w:rPr>
          <w:rFonts w:ascii="Times New Roman" w:eastAsia="Times New Roman" w:hAnsi="Times New Roman" w:cs="Times New Roman"/>
          <w:b/>
          <w:i w:val="0"/>
          <w:color w:val="333333"/>
          <w:sz w:val="24"/>
        </w:rPr>
        <w:t>目录</w:t>
      </w:r>
    </w:p>
    <w:p>
      <w:pPr>
        <w:pStyle w:val="TOC1"/>
        <w:tabs>
          <w:tab w:val="right" w:leader="dot" w:pos="9016"/>
        </w:tabs>
        <w:rPr>
          <w:rFonts w:ascii="Calibri" w:hAnsi="Calibri"/>
          <w:noProof/>
          <w:sz w:val="22"/>
        </w:rPr>
      </w:pPr>
      <w:r w:rsidR="00A77B3E">
        <w:rPr>
          <w:rFonts w:ascii="宋体" w:eastAsia="宋体" w:hAnsi="宋体" w:cs="宋体"/>
          <w:b/>
          <w:i w:val="0"/>
          <w:color w:val="333333"/>
          <w:sz w:val="32"/>
        </w:rPr>
        <w:fldChar w:fldCharType="begin"/>
      </w:r>
      <w:r w:rsidR="00A77B3E">
        <w:rPr>
          <w:rFonts w:ascii="宋体" w:eastAsia="宋体" w:hAnsi="宋体" w:cs="宋体"/>
          <w:b/>
          <w:i w:val="0"/>
          <w:color w:val="333333"/>
          <w:sz w:val="32"/>
        </w:rPr>
        <w:instrText>TOC \o "1-3" \h \z \u</w:instrText>
      </w:r>
      <w:r w:rsidR="00A77B3E">
        <w:rPr>
          <w:rFonts w:ascii="宋体" w:eastAsia="宋体" w:hAnsi="宋体" w:cs="宋体"/>
          <w:b/>
          <w:i w:val="0"/>
          <w:color w:val="333333"/>
          <w:sz w:val="32"/>
        </w:rPr>
        <w:fldChar w:fldCharType="separate"/>
      </w:r>
      <w:hyperlink w:anchor="_Toc256000000" w:history="1">
        <w:r w:rsidR="00A77B3E">
          <w:rPr>
            <w:rStyle w:val="Hyperlink"/>
            <w:rFonts w:ascii="宋体" w:eastAsia="宋体" w:hAnsi="宋体" w:cs="宋体"/>
          </w:rPr>
          <w:t>一、绪论</w:t>
        </w:r>
        <w:r>
          <w:tab/>
        </w:r>
        <w:r>
          <w:fldChar w:fldCharType="begin"/>
        </w:r>
        <w:r>
          <w:instrText xml:space="preserve"> PAGEREF _Toc256000000 \h </w:instrText>
        </w:r>
        <w:r>
          <w:fldChar w:fldCharType="separate"/>
        </w:r>
        <w:r>
          <w:t>6</w:t>
        </w:r>
        <w:r>
          <w:fldChar w:fldCharType="end"/>
        </w:r>
      </w:hyperlink>
    </w:p>
    <w:p>
      <w:pPr>
        <w:pStyle w:val="TOC2"/>
        <w:tabs>
          <w:tab w:val="right" w:leader="dot" w:pos="9016"/>
        </w:tabs>
        <w:rPr>
          <w:rFonts w:ascii="Calibri" w:hAnsi="Calibri"/>
          <w:noProof/>
          <w:sz w:val="22"/>
        </w:rPr>
      </w:pPr>
      <w:hyperlink w:anchor="_Toc256000001" w:history="1">
        <w:r w:rsidR="00A77B3E">
          <w:rPr>
            <w:rStyle w:val="Hyperlink"/>
            <w:rFonts w:ascii="宋体" w:eastAsia="宋体" w:hAnsi="宋体" w:cs="宋体"/>
          </w:rPr>
          <w:t>1.1 研究背景和意义</w:t>
        </w:r>
        <w:r>
          <w:tab/>
        </w:r>
        <w:r>
          <w:fldChar w:fldCharType="begin"/>
        </w:r>
        <w:r>
          <w:instrText xml:space="preserve"> PAGEREF _Toc256000001 \h </w:instrText>
        </w:r>
        <w:r>
          <w:fldChar w:fldCharType="separate"/>
        </w:r>
        <w:r>
          <w:t>6</w:t>
        </w:r>
        <w:r>
          <w:fldChar w:fldCharType="end"/>
        </w:r>
      </w:hyperlink>
    </w:p>
    <w:p>
      <w:pPr>
        <w:pStyle w:val="TOC2"/>
        <w:tabs>
          <w:tab w:val="right" w:leader="dot" w:pos="9016"/>
        </w:tabs>
        <w:rPr>
          <w:rFonts w:ascii="Calibri" w:hAnsi="Calibri"/>
          <w:noProof/>
          <w:sz w:val="22"/>
        </w:rPr>
      </w:pPr>
      <w:hyperlink w:anchor="_Toc256000002" w:history="1">
        <w:r w:rsidR="00A77B3E">
          <w:rPr>
            <w:rStyle w:val="Hyperlink"/>
            <w:rFonts w:ascii="宋体" w:eastAsia="宋体" w:hAnsi="宋体" w:cs="宋体"/>
          </w:rPr>
          <w:t>1.2 国内外研究现状</w:t>
        </w:r>
        <w:r>
          <w:tab/>
        </w:r>
        <w:r>
          <w:fldChar w:fldCharType="begin"/>
        </w:r>
        <w:r>
          <w:instrText xml:space="preserve"> PAGEREF _Toc256000002 \h </w:instrText>
        </w:r>
        <w:r>
          <w:fldChar w:fldCharType="separate"/>
        </w:r>
        <w:r>
          <w:t>6</w:t>
        </w:r>
        <w:r>
          <w:fldChar w:fldCharType="end"/>
        </w:r>
      </w:hyperlink>
    </w:p>
    <w:p>
      <w:pPr>
        <w:pStyle w:val="TOC2"/>
        <w:tabs>
          <w:tab w:val="right" w:leader="dot" w:pos="9016"/>
        </w:tabs>
        <w:rPr>
          <w:rFonts w:ascii="Calibri" w:hAnsi="Calibri"/>
          <w:noProof/>
          <w:sz w:val="22"/>
        </w:rPr>
      </w:pPr>
      <w:hyperlink w:anchor="_Toc256000003" w:history="1">
        <w:r w:rsidR="00A77B3E">
          <w:rPr>
            <w:rStyle w:val="Hyperlink"/>
            <w:rFonts w:ascii="宋体" w:eastAsia="宋体" w:hAnsi="宋体" w:cs="宋体"/>
          </w:rPr>
          <w:t>1.3 研究方法和框架</w:t>
        </w:r>
        <w:r>
          <w:tab/>
        </w:r>
        <w:r>
          <w:fldChar w:fldCharType="begin"/>
        </w:r>
        <w:r>
          <w:instrText xml:space="preserve"> PAGEREF _Toc256000003 \h </w:instrText>
        </w:r>
        <w:r>
          <w:fldChar w:fldCharType="separate"/>
        </w:r>
        <w:r>
          <w:t>7</w:t>
        </w:r>
        <w:r>
          <w:fldChar w:fldCharType="end"/>
        </w:r>
      </w:hyperlink>
    </w:p>
    <w:p>
      <w:pPr>
        <w:pStyle w:val="TOC2"/>
        <w:tabs>
          <w:tab w:val="right" w:leader="dot" w:pos="9016"/>
        </w:tabs>
        <w:rPr>
          <w:rFonts w:ascii="Calibri" w:hAnsi="Calibri"/>
          <w:noProof/>
          <w:sz w:val="22"/>
        </w:rPr>
      </w:pPr>
      <w:hyperlink w:anchor="_Toc256000004" w:history="1">
        <w:r w:rsidR="00A77B3E">
          <w:rPr>
            <w:rStyle w:val="Hyperlink"/>
            <w:rFonts w:ascii="宋体" w:eastAsia="宋体" w:hAnsi="宋体" w:cs="宋体"/>
          </w:rPr>
          <w:t>1.4 研究创新点及不足之处</w:t>
        </w:r>
        <w:r>
          <w:tab/>
        </w:r>
        <w:r>
          <w:fldChar w:fldCharType="begin"/>
        </w:r>
        <w:r>
          <w:instrText xml:space="preserve"> PAGEREF _Toc256000004 \h </w:instrText>
        </w:r>
        <w:r>
          <w:fldChar w:fldCharType="separate"/>
        </w:r>
        <w:r>
          <w:t>7</w:t>
        </w:r>
        <w:r>
          <w:fldChar w:fldCharType="end"/>
        </w:r>
      </w:hyperlink>
    </w:p>
    <w:p>
      <w:pPr>
        <w:pStyle w:val="TOC1"/>
        <w:tabs>
          <w:tab w:val="right" w:leader="dot" w:pos="9016"/>
        </w:tabs>
        <w:rPr>
          <w:rFonts w:ascii="Calibri" w:hAnsi="Calibri"/>
          <w:noProof/>
          <w:sz w:val="22"/>
        </w:rPr>
      </w:pPr>
      <w:hyperlink w:anchor="_Toc256000005" w:history="1">
        <w:r w:rsidR="00A77B3E">
          <w:rPr>
            <w:rStyle w:val="Hyperlink"/>
            <w:rFonts w:ascii="宋体" w:eastAsia="宋体" w:hAnsi="宋体" w:cs="宋体"/>
          </w:rPr>
          <w:t>二、理论基础</w:t>
        </w:r>
        <w:r>
          <w:tab/>
        </w:r>
        <w:r>
          <w:fldChar w:fldCharType="begin"/>
        </w:r>
        <w:r>
          <w:instrText xml:space="preserve"> PAGEREF _Toc256000005 \h </w:instrText>
        </w:r>
        <w:r>
          <w:fldChar w:fldCharType="separate"/>
        </w:r>
        <w:r>
          <w:t>8</w:t>
        </w:r>
        <w:r>
          <w:fldChar w:fldCharType="end"/>
        </w:r>
      </w:hyperlink>
    </w:p>
    <w:p>
      <w:pPr>
        <w:pStyle w:val="TOC2"/>
        <w:tabs>
          <w:tab w:val="right" w:leader="dot" w:pos="9016"/>
        </w:tabs>
        <w:rPr>
          <w:rFonts w:ascii="Calibri" w:hAnsi="Calibri"/>
          <w:noProof/>
          <w:sz w:val="22"/>
        </w:rPr>
      </w:pPr>
      <w:hyperlink w:anchor="_Toc256000006" w:history="1">
        <w:r w:rsidR="00A77B3E">
          <w:rPr>
            <w:rStyle w:val="Hyperlink"/>
            <w:rFonts w:ascii="宋体" w:eastAsia="宋体" w:hAnsi="宋体" w:cs="宋体"/>
          </w:rPr>
          <w:t>2.1 自我决定理论</w:t>
        </w:r>
        <w:r>
          <w:tab/>
        </w:r>
        <w:r>
          <w:fldChar w:fldCharType="begin"/>
        </w:r>
        <w:r>
          <w:instrText xml:space="preserve"> PAGEREF _Toc256000006 \h </w:instrText>
        </w:r>
        <w:r>
          <w:fldChar w:fldCharType="separate"/>
        </w:r>
        <w:r>
          <w:t>8</w:t>
        </w:r>
        <w:r>
          <w:fldChar w:fldCharType="end"/>
        </w:r>
      </w:hyperlink>
    </w:p>
    <w:p>
      <w:pPr>
        <w:pStyle w:val="TOC2"/>
        <w:tabs>
          <w:tab w:val="right" w:leader="dot" w:pos="9016"/>
        </w:tabs>
        <w:rPr>
          <w:rFonts w:ascii="Calibri" w:hAnsi="Calibri"/>
          <w:noProof/>
          <w:sz w:val="22"/>
        </w:rPr>
      </w:pPr>
      <w:hyperlink w:anchor="_Toc256000007" w:history="1">
        <w:r w:rsidR="00A77B3E">
          <w:rPr>
            <w:rStyle w:val="Hyperlink"/>
            <w:rFonts w:ascii="宋体" w:eastAsia="宋体" w:hAnsi="宋体" w:cs="宋体"/>
          </w:rPr>
          <w:t>2.2 社会认知理论</w:t>
        </w:r>
        <w:r>
          <w:tab/>
        </w:r>
        <w:r>
          <w:fldChar w:fldCharType="begin"/>
        </w:r>
        <w:r>
          <w:instrText xml:space="preserve"> PAGEREF _Toc256000007 \h </w:instrText>
        </w:r>
        <w:r>
          <w:fldChar w:fldCharType="separate"/>
        </w:r>
        <w:r>
          <w:t>9</w:t>
        </w:r>
        <w:r>
          <w:fldChar w:fldCharType="end"/>
        </w:r>
      </w:hyperlink>
    </w:p>
    <w:p>
      <w:pPr>
        <w:pStyle w:val="TOC2"/>
        <w:tabs>
          <w:tab w:val="right" w:leader="dot" w:pos="9016"/>
        </w:tabs>
        <w:rPr>
          <w:rFonts w:ascii="Calibri" w:hAnsi="Calibri"/>
          <w:noProof/>
          <w:sz w:val="22"/>
        </w:rPr>
      </w:pPr>
      <w:hyperlink w:anchor="_Toc256000008" w:history="1">
        <w:r w:rsidR="00A77B3E">
          <w:rPr>
            <w:rStyle w:val="Hyperlink"/>
            <w:rFonts w:ascii="宋体" w:eastAsia="宋体" w:hAnsi="宋体" w:cs="宋体"/>
          </w:rPr>
          <w:t>2.3 社会化理论</w:t>
        </w:r>
        <w:r>
          <w:tab/>
        </w:r>
        <w:r>
          <w:fldChar w:fldCharType="begin"/>
        </w:r>
        <w:r>
          <w:instrText xml:space="preserve"> PAGEREF _Toc256000008 \h </w:instrText>
        </w:r>
        <w:r>
          <w:fldChar w:fldCharType="separate"/>
        </w:r>
        <w:r>
          <w:t>10</w:t>
        </w:r>
        <w:r>
          <w:fldChar w:fldCharType="end"/>
        </w:r>
      </w:hyperlink>
    </w:p>
    <w:p>
      <w:pPr>
        <w:pStyle w:val="TOC2"/>
        <w:tabs>
          <w:tab w:val="right" w:leader="dot" w:pos="9016"/>
        </w:tabs>
        <w:rPr>
          <w:rFonts w:ascii="Calibri" w:hAnsi="Calibri"/>
          <w:noProof/>
          <w:sz w:val="22"/>
        </w:rPr>
      </w:pPr>
      <w:hyperlink w:anchor="_Toc256000009" w:history="1">
        <w:r w:rsidR="00A77B3E">
          <w:rPr>
            <w:rStyle w:val="Hyperlink"/>
            <w:rFonts w:ascii="宋体" w:eastAsia="宋体" w:hAnsi="宋体" w:cs="宋体"/>
          </w:rPr>
          <w:t>2.4 价值观理论</w:t>
        </w:r>
        <w:r>
          <w:tab/>
        </w:r>
        <w:r>
          <w:fldChar w:fldCharType="begin"/>
        </w:r>
        <w:r>
          <w:instrText xml:space="preserve"> PAGEREF _Toc256000009 \h </w:instrText>
        </w:r>
        <w:r>
          <w:fldChar w:fldCharType="separate"/>
        </w:r>
        <w:r>
          <w:t>10</w:t>
        </w:r>
        <w:r>
          <w:fldChar w:fldCharType="end"/>
        </w:r>
      </w:hyperlink>
    </w:p>
    <w:p>
      <w:pPr>
        <w:pStyle w:val="TOC1"/>
        <w:tabs>
          <w:tab w:val="right" w:leader="dot" w:pos="9016"/>
        </w:tabs>
        <w:rPr>
          <w:rFonts w:ascii="Calibri" w:hAnsi="Calibri"/>
          <w:noProof/>
          <w:sz w:val="22"/>
        </w:rPr>
      </w:pPr>
      <w:hyperlink w:anchor="_Toc256000010" w:history="1">
        <w:r w:rsidR="00A77B3E">
          <w:rPr>
            <w:rStyle w:val="Hyperlink"/>
            <w:rFonts w:ascii="宋体" w:eastAsia="宋体" w:hAnsi="宋体" w:cs="宋体"/>
          </w:rPr>
          <w:t>三、问卷调查设计</w:t>
        </w:r>
        <w:r>
          <w:tab/>
        </w:r>
        <w:r>
          <w:fldChar w:fldCharType="begin"/>
        </w:r>
        <w:r>
          <w:instrText xml:space="preserve"> PAGEREF _Toc256000010 \h </w:instrText>
        </w:r>
        <w:r>
          <w:fldChar w:fldCharType="separate"/>
        </w:r>
        <w:r>
          <w:t>11</w:t>
        </w:r>
        <w:r>
          <w:fldChar w:fldCharType="end"/>
        </w:r>
      </w:hyperlink>
    </w:p>
    <w:p>
      <w:pPr>
        <w:pStyle w:val="TOC2"/>
        <w:tabs>
          <w:tab w:val="right" w:leader="dot" w:pos="9016"/>
        </w:tabs>
        <w:rPr>
          <w:rFonts w:ascii="Calibri" w:hAnsi="Calibri"/>
          <w:noProof/>
          <w:sz w:val="22"/>
        </w:rPr>
      </w:pPr>
      <w:hyperlink w:anchor="_Toc256000011" w:history="1">
        <w:r w:rsidR="00A77B3E">
          <w:rPr>
            <w:rStyle w:val="Hyperlink"/>
            <w:rFonts w:ascii="宋体" w:eastAsia="宋体" w:hAnsi="宋体" w:cs="宋体"/>
          </w:rPr>
          <w:t>3.1 量表的编制</w:t>
        </w:r>
        <w:r>
          <w:tab/>
        </w:r>
        <w:r>
          <w:fldChar w:fldCharType="begin"/>
        </w:r>
        <w:r>
          <w:instrText xml:space="preserve"> PAGEREF _Toc256000011 \h </w:instrText>
        </w:r>
        <w:r>
          <w:fldChar w:fldCharType="separate"/>
        </w:r>
        <w:r>
          <w:t>11</w:t>
        </w:r>
        <w:r>
          <w:fldChar w:fldCharType="end"/>
        </w:r>
      </w:hyperlink>
    </w:p>
    <w:p>
      <w:pPr>
        <w:pStyle w:val="TOC2"/>
        <w:tabs>
          <w:tab w:val="right" w:leader="dot" w:pos="9016"/>
        </w:tabs>
        <w:rPr>
          <w:rFonts w:ascii="Calibri" w:hAnsi="Calibri"/>
          <w:noProof/>
          <w:sz w:val="22"/>
        </w:rPr>
      </w:pPr>
      <w:hyperlink w:anchor="_Toc256000012" w:history="1">
        <w:r w:rsidR="00A77B3E">
          <w:rPr>
            <w:rStyle w:val="Hyperlink"/>
            <w:rFonts w:ascii="宋体" w:eastAsia="宋体" w:hAnsi="宋体" w:cs="宋体"/>
          </w:rPr>
          <w:t>3.2 调查对象的确定</w:t>
        </w:r>
        <w:r>
          <w:tab/>
        </w:r>
        <w:r>
          <w:fldChar w:fldCharType="begin"/>
        </w:r>
        <w:r>
          <w:instrText xml:space="preserve"> PAGEREF _Toc256000012 \h </w:instrText>
        </w:r>
        <w:r>
          <w:fldChar w:fldCharType="separate"/>
        </w:r>
        <w:r>
          <w:t>12</w:t>
        </w:r>
        <w:r>
          <w:fldChar w:fldCharType="end"/>
        </w:r>
      </w:hyperlink>
    </w:p>
    <w:p>
      <w:pPr>
        <w:pStyle w:val="TOC2"/>
        <w:tabs>
          <w:tab w:val="right" w:leader="dot" w:pos="9016"/>
        </w:tabs>
        <w:rPr>
          <w:rFonts w:ascii="Calibri" w:hAnsi="Calibri"/>
          <w:noProof/>
          <w:sz w:val="22"/>
        </w:rPr>
      </w:pPr>
      <w:hyperlink w:anchor="_Toc256000013" w:history="1">
        <w:r w:rsidR="00A77B3E">
          <w:rPr>
            <w:rStyle w:val="Hyperlink"/>
            <w:rFonts w:ascii="宋体" w:eastAsia="宋体" w:hAnsi="宋体" w:cs="宋体"/>
          </w:rPr>
          <w:t>3.3 数据收集与分析方法</w:t>
        </w:r>
        <w:r>
          <w:tab/>
        </w:r>
        <w:r>
          <w:fldChar w:fldCharType="begin"/>
        </w:r>
        <w:r>
          <w:instrText xml:space="preserve"> PAGEREF _Toc256000013 \h </w:instrText>
        </w:r>
        <w:r>
          <w:fldChar w:fldCharType="separate"/>
        </w:r>
        <w:r>
          <w:t>13</w:t>
        </w:r>
        <w:r>
          <w:fldChar w:fldCharType="end"/>
        </w:r>
      </w:hyperlink>
    </w:p>
    <w:p>
      <w:pPr>
        <w:pStyle w:val="TOC1"/>
        <w:tabs>
          <w:tab w:val="right" w:leader="dot" w:pos="9016"/>
        </w:tabs>
        <w:rPr>
          <w:rFonts w:ascii="Calibri" w:hAnsi="Calibri"/>
          <w:noProof/>
          <w:sz w:val="22"/>
        </w:rPr>
      </w:pPr>
      <w:hyperlink w:anchor="_Toc256000014" w:history="1">
        <w:r w:rsidR="00A77B3E">
          <w:rPr>
            <w:rStyle w:val="Hyperlink"/>
            <w:rFonts w:ascii="宋体" w:eastAsia="宋体" w:hAnsi="宋体" w:cs="宋体"/>
          </w:rPr>
          <w:t>四、数据描述性统计分析</w:t>
        </w:r>
        <w:r>
          <w:tab/>
        </w:r>
        <w:r>
          <w:fldChar w:fldCharType="begin"/>
        </w:r>
        <w:r>
          <w:instrText xml:space="preserve"> PAGEREF _Toc256000014 \h </w:instrText>
        </w:r>
        <w:r>
          <w:fldChar w:fldCharType="separate"/>
        </w:r>
        <w:r>
          <w:t>14</w:t>
        </w:r>
        <w:r>
          <w:fldChar w:fldCharType="end"/>
        </w:r>
      </w:hyperlink>
    </w:p>
    <w:p>
      <w:pPr>
        <w:pStyle w:val="TOC2"/>
        <w:tabs>
          <w:tab w:val="right" w:leader="dot" w:pos="9016"/>
        </w:tabs>
        <w:rPr>
          <w:rFonts w:ascii="Calibri" w:hAnsi="Calibri"/>
          <w:noProof/>
          <w:sz w:val="22"/>
        </w:rPr>
      </w:pPr>
      <w:hyperlink w:anchor="_Toc256000015" w:history="1">
        <w:r w:rsidR="00A77B3E">
          <w:rPr>
            <w:rStyle w:val="Hyperlink"/>
            <w:rFonts w:ascii="宋体" w:eastAsia="宋体" w:hAnsi="宋体" w:cs="宋体"/>
          </w:rPr>
          <w:t>4.1 样本基本信息</w:t>
        </w:r>
        <w:r>
          <w:tab/>
        </w:r>
        <w:r>
          <w:fldChar w:fldCharType="begin"/>
        </w:r>
        <w:r>
          <w:instrText xml:space="preserve"> PAGEREF _Toc256000015 \h </w:instrText>
        </w:r>
        <w:r>
          <w:fldChar w:fldCharType="separate"/>
        </w:r>
        <w:r>
          <w:t>14</w:t>
        </w:r>
        <w:r>
          <w:fldChar w:fldCharType="end"/>
        </w:r>
      </w:hyperlink>
    </w:p>
    <w:p>
      <w:pPr>
        <w:pStyle w:val="TOC2"/>
        <w:tabs>
          <w:tab w:val="right" w:leader="dot" w:pos="9016"/>
        </w:tabs>
        <w:rPr>
          <w:rFonts w:ascii="Calibri" w:hAnsi="Calibri"/>
          <w:noProof/>
          <w:sz w:val="22"/>
        </w:rPr>
      </w:pPr>
      <w:hyperlink w:anchor="_Toc256000016" w:history="1">
        <w:r w:rsidR="00A77B3E">
          <w:rPr>
            <w:rStyle w:val="Hyperlink"/>
            <w:rFonts w:ascii="宋体" w:eastAsia="宋体" w:hAnsi="宋体" w:cs="宋体"/>
          </w:rPr>
          <w:t>4.2 各量表项的信度检验</w:t>
        </w:r>
        <w:r>
          <w:tab/>
        </w:r>
        <w:r>
          <w:fldChar w:fldCharType="begin"/>
        </w:r>
        <w:r>
          <w:instrText xml:space="preserve"> PAGEREF _Toc256000016 \h </w:instrText>
        </w:r>
        <w:r>
          <w:fldChar w:fldCharType="separate"/>
        </w:r>
        <w:r>
          <w:t>16</w:t>
        </w:r>
        <w:r>
          <w:fldChar w:fldCharType="end"/>
        </w:r>
      </w:hyperlink>
    </w:p>
    <w:p>
      <w:pPr>
        <w:pStyle w:val="TOC2"/>
        <w:tabs>
          <w:tab w:val="right" w:leader="dot" w:pos="9016"/>
        </w:tabs>
        <w:rPr>
          <w:rFonts w:ascii="Calibri" w:hAnsi="Calibri"/>
          <w:noProof/>
          <w:sz w:val="22"/>
        </w:rPr>
      </w:pPr>
      <w:hyperlink w:anchor="_Toc256000017" w:history="1">
        <w:r w:rsidR="00A77B3E">
          <w:rPr>
            <w:rStyle w:val="Hyperlink"/>
            <w:rFonts w:ascii="宋体" w:eastAsia="宋体" w:hAnsi="宋体" w:cs="宋体"/>
          </w:rPr>
          <w:t>4.3 各变量的描述性统计</w:t>
        </w:r>
        <w:r>
          <w:tab/>
        </w:r>
        <w:r>
          <w:fldChar w:fldCharType="begin"/>
        </w:r>
        <w:r>
          <w:instrText xml:space="preserve"> PAGEREF _Toc256000017 \h </w:instrText>
        </w:r>
        <w:r>
          <w:fldChar w:fldCharType="separate"/>
        </w:r>
        <w:r>
          <w:t>16</w:t>
        </w:r>
        <w:r>
          <w:fldChar w:fldCharType="end"/>
        </w:r>
      </w:hyperlink>
    </w:p>
    <w:p>
      <w:pPr>
        <w:pStyle w:val="TOC1"/>
        <w:tabs>
          <w:tab w:val="right" w:leader="dot" w:pos="9016"/>
        </w:tabs>
        <w:rPr>
          <w:rFonts w:ascii="Calibri" w:hAnsi="Calibri"/>
          <w:noProof/>
          <w:sz w:val="22"/>
        </w:rPr>
      </w:pPr>
      <w:hyperlink w:anchor="_Toc256000018" w:history="1">
        <w:r w:rsidR="00A77B3E">
          <w:rPr>
            <w:rStyle w:val="Hyperlink"/>
            <w:rFonts w:ascii="宋体" w:eastAsia="宋体" w:hAnsi="宋体" w:cs="宋体"/>
          </w:rPr>
          <w:t>五、数据分析及讨论</w:t>
        </w:r>
        <w:r>
          <w:tab/>
        </w:r>
        <w:r>
          <w:fldChar w:fldCharType="begin"/>
        </w:r>
        <w:r>
          <w:instrText xml:space="preserve"> PAGEREF _Toc256000018 \h </w:instrText>
        </w:r>
        <w:r>
          <w:fldChar w:fldCharType="separate"/>
        </w:r>
        <w:r>
          <w:t>18</w:t>
        </w:r>
        <w:r>
          <w:fldChar w:fldCharType="end"/>
        </w:r>
      </w:hyperlink>
    </w:p>
    <w:p>
      <w:pPr>
        <w:pStyle w:val="TOC2"/>
        <w:tabs>
          <w:tab w:val="right" w:leader="dot" w:pos="9016"/>
        </w:tabs>
        <w:rPr>
          <w:rFonts w:ascii="Calibri" w:hAnsi="Calibri"/>
          <w:noProof/>
          <w:sz w:val="22"/>
        </w:rPr>
      </w:pPr>
      <w:hyperlink w:anchor="_Toc256000019" w:history="1">
        <w:r w:rsidR="00A77B3E">
          <w:rPr>
            <w:rStyle w:val="Hyperlink"/>
            <w:rFonts w:ascii="宋体" w:eastAsia="宋体" w:hAnsi="宋体" w:cs="宋体"/>
          </w:rPr>
          <w:t>5.1 运动对大学生择业价值观的影响</w:t>
        </w:r>
        <w:r>
          <w:tab/>
        </w:r>
        <w:r>
          <w:fldChar w:fldCharType="begin"/>
        </w:r>
        <w:r>
          <w:instrText xml:space="preserve"> PAGEREF _Toc256000019 \h </w:instrText>
        </w:r>
        <w:r>
          <w:fldChar w:fldCharType="separate"/>
        </w:r>
        <w:r>
          <w:t>18</w:t>
        </w:r>
        <w:r>
          <w:fldChar w:fldCharType="end"/>
        </w:r>
      </w:hyperlink>
    </w:p>
    <w:p>
      <w:pPr>
        <w:pStyle w:val="TOC2"/>
        <w:tabs>
          <w:tab w:val="right" w:leader="dot" w:pos="9016"/>
        </w:tabs>
        <w:rPr>
          <w:rFonts w:ascii="Calibri" w:hAnsi="Calibri"/>
          <w:noProof/>
          <w:sz w:val="22"/>
        </w:rPr>
      </w:pPr>
      <w:hyperlink w:anchor="_Toc256000020" w:history="1">
        <w:r w:rsidR="00A77B3E">
          <w:rPr>
            <w:rStyle w:val="Hyperlink"/>
            <w:rFonts w:ascii="宋体" w:eastAsia="宋体" w:hAnsi="宋体" w:cs="宋体"/>
          </w:rPr>
          <w:t>5.2 社交对大学生择业价值观的影响</w:t>
        </w:r>
        <w:r>
          <w:tab/>
        </w:r>
        <w:r>
          <w:fldChar w:fldCharType="begin"/>
        </w:r>
        <w:r>
          <w:instrText xml:space="preserve"> PAGEREF _Toc256000020 \h </w:instrText>
        </w:r>
        <w:r>
          <w:fldChar w:fldCharType="separate"/>
        </w:r>
        <w:r>
          <w:t>19</w:t>
        </w:r>
        <w:r>
          <w:fldChar w:fldCharType="end"/>
        </w:r>
      </w:hyperlink>
    </w:p>
    <w:p>
      <w:pPr>
        <w:pStyle w:val="TOC2"/>
        <w:tabs>
          <w:tab w:val="right" w:leader="dot" w:pos="9016"/>
        </w:tabs>
        <w:rPr>
          <w:rFonts w:ascii="Calibri" w:hAnsi="Calibri"/>
          <w:noProof/>
          <w:sz w:val="22"/>
        </w:rPr>
      </w:pPr>
      <w:hyperlink w:anchor="_Toc256000021" w:history="1">
        <w:r w:rsidR="00A77B3E">
          <w:rPr>
            <w:rStyle w:val="Hyperlink"/>
            <w:rFonts w:ascii="宋体" w:eastAsia="宋体" w:hAnsi="宋体" w:cs="宋体"/>
          </w:rPr>
          <w:t>5.3 传媒对大学生择业价值观的影响</w:t>
        </w:r>
        <w:r>
          <w:tab/>
        </w:r>
        <w:r>
          <w:fldChar w:fldCharType="begin"/>
        </w:r>
        <w:r>
          <w:instrText xml:space="preserve"> PAGEREF _Toc256000021 \h </w:instrText>
        </w:r>
        <w:r>
          <w:fldChar w:fldCharType="separate"/>
        </w:r>
        <w:r>
          <w:t>20</w:t>
        </w:r>
        <w:r>
          <w:fldChar w:fldCharType="end"/>
        </w:r>
      </w:hyperlink>
    </w:p>
    <w:p>
      <w:pPr>
        <w:pStyle w:val="TOC2"/>
        <w:tabs>
          <w:tab w:val="right" w:leader="dot" w:pos="9016"/>
        </w:tabs>
        <w:rPr>
          <w:rFonts w:ascii="Calibri" w:hAnsi="Calibri"/>
          <w:noProof/>
          <w:sz w:val="22"/>
        </w:rPr>
      </w:pPr>
      <w:hyperlink w:anchor="_Toc256000022" w:history="1">
        <w:r w:rsidR="00A77B3E">
          <w:rPr>
            <w:rStyle w:val="Hyperlink"/>
            <w:rFonts w:ascii="宋体" w:eastAsia="宋体" w:hAnsi="宋体" w:cs="宋体"/>
          </w:rPr>
          <w:t>5.4 家庭教育对大学生择业价值观的影响</w:t>
        </w:r>
        <w:r>
          <w:tab/>
        </w:r>
        <w:r>
          <w:fldChar w:fldCharType="begin"/>
        </w:r>
        <w:r>
          <w:instrText xml:space="preserve"> PAGEREF _Toc256000022 \h </w:instrText>
        </w:r>
        <w:r>
          <w:fldChar w:fldCharType="separate"/>
        </w:r>
        <w:r>
          <w:t>22</w:t>
        </w:r>
        <w:r>
          <w:fldChar w:fldCharType="end"/>
        </w:r>
      </w:hyperlink>
    </w:p>
    <w:p>
      <w:pPr>
        <w:pStyle w:val="TOC2"/>
        <w:tabs>
          <w:tab w:val="right" w:leader="dot" w:pos="9016"/>
        </w:tabs>
        <w:rPr>
          <w:rFonts w:ascii="Calibri" w:hAnsi="Calibri"/>
          <w:noProof/>
          <w:sz w:val="22"/>
        </w:rPr>
      </w:pPr>
      <w:hyperlink w:anchor="_Toc256000023" w:history="1">
        <w:r w:rsidR="00A77B3E">
          <w:rPr>
            <w:rStyle w:val="Hyperlink"/>
            <w:rFonts w:ascii="宋体" w:eastAsia="宋体" w:hAnsi="宋体" w:cs="宋体"/>
          </w:rPr>
          <w:t>5.5 交友圈对大学生择业价值观的影响</w:t>
        </w:r>
        <w:r>
          <w:tab/>
        </w:r>
        <w:r>
          <w:fldChar w:fldCharType="begin"/>
        </w:r>
        <w:r>
          <w:instrText xml:space="preserve"> PAGEREF _Toc256000023 \h </w:instrText>
        </w:r>
        <w:r>
          <w:fldChar w:fldCharType="separate"/>
        </w:r>
        <w:r>
          <w:t>23</w:t>
        </w:r>
        <w:r>
          <w:fldChar w:fldCharType="end"/>
        </w:r>
      </w:hyperlink>
    </w:p>
    <w:p>
      <w:pPr>
        <w:pStyle w:val="TOC1"/>
        <w:tabs>
          <w:tab w:val="right" w:leader="dot" w:pos="9016"/>
        </w:tabs>
        <w:rPr>
          <w:rFonts w:ascii="Calibri" w:hAnsi="Calibri"/>
          <w:noProof/>
          <w:sz w:val="22"/>
        </w:rPr>
      </w:pPr>
      <w:hyperlink w:anchor="_Toc256000024" w:history="1">
        <w:r w:rsidR="00A77B3E">
          <w:rPr>
            <w:rStyle w:val="Hyperlink"/>
            <w:rFonts w:ascii="宋体" w:eastAsia="宋体" w:hAnsi="宋体" w:cs="宋体"/>
          </w:rPr>
          <w:t>六、结论与建议</w:t>
        </w:r>
        <w:r>
          <w:tab/>
        </w:r>
        <w:r>
          <w:fldChar w:fldCharType="begin"/>
        </w:r>
        <w:r>
          <w:instrText xml:space="preserve"> PAGEREF _Toc256000024 \h </w:instrText>
        </w:r>
        <w:r>
          <w:fldChar w:fldCharType="separate"/>
        </w:r>
        <w:r>
          <w:t>24</w:t>
        </w:r>
        <w:r>
          <w:fldChar w:fldCharType="end"/>
        </w:r>
      </w:hyperlink>
    </w:p>
    <w:p>
      <w:pPr>
        <w:pStyle w:val="TOC2"/>
        <w:tabs>
          <w:tab w:val="right" w:leader="dot" w:pos="9016"/>
        </w:tabs>
        <w:rPr>
          <w:rFonts w:ascii="Calibri" w:hAnsi="Calibri"/>
          <w:noProof/>
          <w:sz w:val="22"/>
        </w:rPr>
      </w:pPr>
      <w:hyperlink w:anchor="_Toc256000025" w:history="1">
        <w:r w:rsidR="00A77B3E">
          <w:rPr>
            <w:rStyle w:val="Hyperlink"/>
            <w:rFonts w:ascii="宋体" w:eastAsia="宋体" w:hAnsi="宋体" w:cs="宋体"/>
          </w:rPr>
          <w:t>6.1 结论</w:t>
        </w:r>
        <w:r>
          <w:tab/>
        </w:r>
        <w:r>
          <w:fldChar w:fldCharType="begin"/>
        </w:r>
        <w:r>
          <w:instrText xml:space="preserve"> PAGEREF _Toc256000025 \h </w:instrText>
        </w:r>
        <w:r>
          <w:fldChar w:fldCharType="separate"/>
        </w:r>
        <w:r>
          <w:t>24</w:t>
        </w:r>
        <w:r>
          <w:fldChar w:fldCharType="end"/>
        </w:r>
      </w:hyperlink>
    </w:p>
    <w:p>
      <w:pPr>
        <w:pStyle w:val="TOC2"/>
        <w:tabs>
          <w:tab w:val="right" w:leader="dot" w:pos="9016"/>
        </w:tabs>
        <w:rPr>
          <w:rFonts w:ascii="Calibri" w:hAnsi="Calibri"/>
          <w:noProof/>
          <w:sz w:val="22"/>
        </w:rPr>
      </w:pPr>
      <w:hyperlink w:anchor="_Toc256000026" w:history="1">
        <w:r w:rsidR="00A77B3E">
          <w:rPr>
            <w:rStyle w:val="Hyperlink"/>
            <w:rFonts w:ascii="宋体" w:eastAsia="宋体" w:hAnsi="宋体" w:cs="宋体"/>
          </w:rPr>
          <w:t>6.2 建议</w:t>
        </w:r>
        <w:r>
          <w:tab/>
        </w:r>
        <w:r>
          <w:fldChar w:fldCharType="begin"/>
        </w:r>
        <w:r>
          <w:instrText xml:space="preserve"> PAGEREF _Toc256000026 \h </w:instrText>
        </w:r>
        <w:r>
          <w:fldChar w:fldCharType="separate"/>
        </w:r>
        <w:r>
          <w:t>25</w:t>
        </w:r>
        <w:r>
          <w:fldChar w:fldCharType="end"/>
        </w:r>
      </w:hyperlink>
    </w:p>
    <w:p>
      <w:pPr>
        <w:pStyle w:val="TOC1"/>
        <w:tabs>
          <w:tab w:val="right" w:leader="dot" w:pos="9016"/>
        </w:tabs>
        <w:rPr>
          <w:rFonts w:ascii="Calibri" w:hAnsi="Calibri"/>
          <w:noProof/>
          <w:sz w:val="22"/>
        </w:rPr>
      </w:pPr>
      <w:hyperlink w:anchor="_Toc256000027" w:history="1">
        <w:r w:rsidR="00A77B3E">
          <w:rPr>
            <w:rStyle w:val="Hyperlink"/>
            <w:rFonts w:ascii="宋体" w:eastAsia="宋体" w:hAnsi="宋体" w:cs="宋体"/>
          </w:rPr>
          <w:t>致谢</w:t>
        </w:r>
        <w:r>
          <w:tab/>
        </w:r>
        <w:r>
          <w:fldChar w:fldCharType="begin"/>
        </w:r>
        <w:r>
          <w:instrText xml:space="preserve"> PAGEREF _Toc256000027 \h </w:instrText>
        </w:r>
        <w:r>
          <w:fldChar w:fldCharType="separate"/>
        </w:r>
        <w:r>
          <w:t>27</w:t>
        </w:r>
        <w:r>
          <w:fldChar w:fldCharType="end"/>
        </w:r>
      </w:hyperlink>
    </w:p>
    <w:p>
      <w:pPr>
        <w:pStyle w:val="TOC1"/>
        <w:tabs>
          <w:tab w:val="right" w:leader="dot" w:pos="9016"/>
        </w:tabs>
        <w:rPr>
          <w:rFonts w:ascii="Calibri" w:hAnsi="Calibri"/>
          <w:noProof/>
          <w:sz w:val="22"/>
        </w:rPr>
      </w:pPr>
      <w:hyperlink w:anchor="_Toc256000028" w:history="1">
        <w:r w:rsidR="00A77B3E">
          <w:rPr>
            <w:rStyle w:val="Hyperlink"/>
            <w:rFonts w:ascii="宋体" w:eastAsia="宋体" w:hAnsi="宋体" w:cs="宋体"/>
          </w:rPr>
          <w:t>参考文献</w:t>
        </w:r>
        <w:r>
          <w:tab/>
        </w:r>
        <w:r>
          <w:fldChar w:fldCharType="begin"/>
        </w:r>
        <w:r>
          <w:instrText xml:space="preserve"> PAGEREF _Toc256000028 \h </w:instrText>
        </w:r>
        <w:r>
          <w:fldChar w:fldCharType="separate"/>
        </w:r>
        <w:r>
          <w:t>28</w:t>
        </w:r>
        <w:r>
          <w:fldChar w:fldCharType="end"/>
        </w:r>
      </w:hyperlink>
    </w:p>
    <w:p w:rsidR="00A77B3E">
      <w:pPr>
        <w:pStyle w:val="Heading1"/>
        <w:spacing w:before="300" w:after="300" w:line="600" w:lineRule="atLeast"/>
        <w:ind w:firstLineChars="0"/>
        <w:jc w:val="center"/>
        <w:rPr>
          <w:rFonts w:ascii="宋体" w:eastAsia="宋体" w:hAnsi="宋体" w:cs="宋体"/>
          <w:b/>
          <w:i w:val="0"/>
          <w:color w:val="333333"/>
          <w:sz w:val="32"/>
        </w:rPr>
      </w:pPr>
      <w:r>
        <w:rPr>
          <w:rFonts w:ascii="宋体" w:eastAsia="宋体" w:hAnsi="宋体" w:cs="宋体"/>
          <w:b/>
          <w:i w:val="0"/>
          <w:color w:val="333333"/>
          <w:sz w:val="32"/>
        </w:rPr>
        <w:fldChar w:fldCharType="end"/>
      </w:r>
      <w:r>
        <w:rPr>
          <w:rFonts w:ascii="宋体" w:eastAsia="宋体" w:hAnsi="宋体" w:cs="宋体"/>
          <w:b/>
          <w:i w:val="0"/>
          <w:color w:val="333333"/>
          <w:sz w:val="32"/>
        </w:rPr>
        <w:br w:type="page"/>
      </w:r>
      <w:bookmarkStart w:id="0" w:name="_Toc256000000"/>
      <w:r>
        <w:rPr>
          <w:rFonts w:ascii="宋体" w:eastAsia="宋体" w:hAnsi="宋体" w:cs="宋体"/>
          <w:b/>
          <w:i w:val="0"/>
          <w:color w:val="333333"/>
          <w:sz w:val="32"/>
        </w:rPr>
        <w:t>一、绪论</w:t>
      </w:r>
      <w:bookmarkEnd w:id="0"/>
    </w:p>
    <w:p w:rsidR="00A77B3E">
      <w:pPr>
        <w:pStyle w:val="Heading2"/>
        <w:spacing w:before="300" w:after="300" w:line="525" w:lineRule="atLeast"/>
        <w:ind w:firstLineChars="0"/>
        <w:jc w:val="left"/>
        <w:rPr>
          <w:rFonts w:ascii="宋体" w:eastAsia="宋体" w:hAnsi="宋体" w:cs="宋体"/>
          <w:b/>
          <w:i w:val="0"/>
          <w:color w:val="333333"/>
          <w:sz w:val="27"/>
        </w:rPr>
      </w:pPr>
      <w:bookmarkStart w:id="1" w:name="_Toc256000001"/>
      <w:r>
        <w:rPr>
          <w:rFonts w:ascii="宋体" w:eastAsia="宋体" w:hAnsi="宋体" w:cs="宋体"/>
          <w:b/>
          <w:i w:val="0"/>
          <w:color w:val="333333"/>
          <w:sz w:val="27"/>
        </w:rPr>
        <w:t>1.1 研究背景和意义</w:t>
      </w:r>
      <w:bookmarkEnd w:id="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当前社会经济快速发展和全球化背景下，大学生的择业问题日益引起社会各界的广泛关注。择业不仅关系到个人的职业发展和生活质量，也直接影响到社会的稳定与进步。大学生作为国家未来的建设者和接班人，他们的价值观念和择业倾向在很大程度上决定了他们的职业选择以及对社会的贡献。因此，研究大学生择业价值观，不仅有助于理解大学生职业发展的内在动因，也对于指导大学生科学合理地进行职业规划具有重要意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随着互联网和社交媒体的普及，大学生的信息获取渠道和社交圈子发生了显著变化，这些变化也在一定程度上影响了他们的择业价值观。在这种新的社会环境下，大学生面临着更加多元化的价值选择和职业路径。如何在多种价值取向和职业路径中做出选择，成为他们面临的一个重要课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大学生在求职过程中受到的外部因素也越来越多样化，包括经济环境、政策导向、行业趋势、社会认知等。这些因素的变化对大学生的择业价值观产生了深远的影响。因此，探究这些外部因素如何影响大学生择业价值观，对于大学生个人、高校以及政府制定相关政策具有指导意义</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cref0</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[1]</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国内外对于大学生择业价值观的研究虽然取得了一定的成果，但大多数研究侧重于择业偏好和职业选择行为，而对于外部环境因素如社会认知、家庭教育、社交影响等与择业价值观之间的关系研究相对较少。同时，现有的研究多采用问卷调查和统计分析方法，对于数据分析的深度和广度还有待提高。因此，本研究旨在通过综合运用自我决定理论、社会认知理论、社会化理论和价值观理论等理论框架，结合量表编制、问卷设计和多种数据分析方法，深入探讨数据背景下大学生择业价值观的形成机制和影响因素。</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本研究的意义主要体现在以下几个方面：首先，有助于丰富和完善大学生择业价值观的研究内容，为后续相关研究提供理论参考和实践指导。其次，通过探索不同外部因素对大学生择业价值观的影响机制，为高校就业指导服务和政策制定提供科学依据。此外，本研究还可以为大学生自身的职业规划和发展提供指导，帮助他们在多元化的职业选择中做出更符合自身价值观和期望的决策。最后，通过本研究的发现，可以增进社会各界对大学生择业价值观形成机制的理解，为促进社会和谐与可持续发展作出贡献。</w:t>
      </w:r>
    </w:p>
    <w:p w:rsidR="00A77B3E">
      <w:pPr>
        <w:pStyle w:val="Heading2"/>
        <w:spacing w:before="300" w:after="300" w:line="525" w:lineRule="atLeast"/>
        <w:ind w:firstLineChars="0"/>
        <w:jc w:val="left"/>
        <w:rPr>
          <w:rFonts w:ascii="宋体" w:eastAsia="宋体" w:hAnsi="宋体" w:cs="宋体"/>
          <w:b/>
          <w:i w:val="0"/>
          <w:color w:val="333333"/>
          <w:sz w:val="27"/>
        </w:rPr>
      </w:pPr>
      <w:bookmarkStart w:id="2" w:name="_Toc256000002"/>
      <w:r>
        <w:rPr>
          <w:rFonts w:ascii="宋体" w:eastAsia="宋体" w:hAnsi="宋体" w:cs="宋体"/>
          <w:b/>
          <w:i w:val="0"/>
          <w:color w:val="333333"/>
          <w:sz w:val="27"/>
        </w:rPr>
        <w:t>1.2 国内外研究现状</w:t>
      </w:r>
      <w:bookmarkEnd w:id="2"/>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大学生择业价值观的研究，旨在深入理解当代大学生的职业选择动机及其背后的价值取向。近年来，国内外学者对此领域进行了广泛而深入的探讨，形成了一系列有价值的研究成果</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cref1</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[2]</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国际研究领域，美国学者Holland（1959）提出的职业兴趣理论，为理解大学生职业选择提供了重要框架，认为职业选择与个体的性格、能力和兴趣密切相关。后续研究扩展至个人价值观和社会因素的影响，探讨了经济状况、家庭背景、教育水平等因素如何塑造个体的职业价值观。欧洲学者也关注社会认知和个体差异对职业选择的影响，强调环境的适应性和个体自我实现的重要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中国，随着经济发展和社会变迁，大学生的择业价值观逐渐成为研究热点。研究发现，传统的就业观念正逐渐向多元化转变，大学生的职业选择更加注重个性化和自我实现。国内多项研究关注城乡差异、性别差异以及不同专业背景下大学生择业价值观的差异。例如，一些研究指出，农村地区大学生由于受限于信息获取和社会网络，可能更倾向于稳定的工作，而城市大学生则表现出更高的创业意愿和灵活就业偏好。</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随着互联网技术的发展，大学生的就业环境和信息获取方式发生了显著变化。这使得大学生在择业过程中受到网络社交、在线就业平台等新型媒介的影响日益增加。一些研究通过问卷调查和深度访谈，探讨了网络环境对大学生择业价值观的作用，揭示了信息过载和社交媒体上虚假信息的负面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针对家庭教育对大学生择业价值观的影响，研究普遍认为家庭背景、父母的职业态度及其对子女职业指导的方式会对大学生的职业选择产生重要影响。一些研究指出，父母的教育水平、职业经历以及对子女职业规划的支持与引导，是影响大学生择业价值观形成的关键因素。</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体来看，国内外关于大学生择业价值观的研究已经取得了一系列成果，但仍存在一些研究空白。例如，对于新兴职业领域、特别是科技行业大学生职业选择行为的研究较少；对数字化时代大学生职业价值观的影响机制尚需进一步探索。此外，现有研究多集中于宏观层面的量化分析，缺乏对个体微观心理过程的深入探讨。未来研究可通过定性方法，如案例分析、深度访谈等，更全面地揭示大学生择业价值观的形成机制和影响因素，为大学生职业指导和就业政策提供更为精准的依据。</w:t>
      </w:r>
    </w:p>
    <w:p w:rsidR="00A77B3E">
      <w:pPr>
        <w:pStyle w:val="Heading2"/>
        <w:spacing w:before="300" w:after="300" w:line="525" w:lineRule="atLeast"/>
        <w:ind w:firstLineChars="0"/>
        <w:jc w:val="left"/>
        <w:rPr>
          <w:rFonts w:ascii="宋体" w:eastAsia="宋体" w:hAnsi="宋体" w:cs="宋体"/>
          <w:b/>
          <w:i w:val="0"/>
          <w:color w:val="333333"/>
          <w:sz w:val="27"/>
        </w:rPr>
      </w:pPr>
      <w:bookmarkStart w:id="3" w:name="_Toc256000003"/>
      <w:r>
        <w:rPr>
          <w:rFonts w:ascii="宋体" w:eastAsia="宋体" w:hAnsi="宋体" w:cs="宋体"/>
          <w:b/>
          <w:i w:val="0"/>
          <w:color w:val="333333"/>
          <w:sz w:val="27"/>
        </w:rPr>
        <w:t>1.3 研究方法和框架</w:t>
      </w:r>
      <w:bookmarkEnd w:id="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本研究旨在探讨数据分析背景下大学生择业价值观的影响因素。在研究方法和框架方面，采取了多维度、多角度的研究路径，旨在全面深入地理解大学生择业价值观及其影响因素。研究方法主要包括问卷调查法、统计分析法和案例分析法，通过这些方法能够较为准确地揭示大学生择业价值观的形成机制及其背后的社会文化因素。</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问卷调查法是本研究的基础工具。设计了一份涵盖自我决定理论、社会认知理论、社会化理论及价值观理论等多个维度的量表，用于收集大学生关于择业价值观的态度和感受。通过线上线下相结合的方式，对全国不同地区、不同类型高校的大学生进行抽样调查，以确保样本的代表性和调查结果的可靠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统计分析法是本研究的重要辅助手段。利用SPSS等统计软件对收集到的数据进行处理和分析，包括描述性统计分析、信度检验、变量相关性分析等，以确保研究结果的科学性和准确性。通过对数据的深入分析，本研究旨在揭示不同社会文化背景下的大学生择业价值观存在的差异性及其原因。</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案例分析法作为补充手段，选取典型案例进行深入分析，以期从具体实例中发现更深层次的规律和特点。通过对特定个体或群体在特定环境下的择业决策过程进行细致的剖析，可以更直观地理解大学生择业价值观的形成机制和影响因素，为研究提供更加生动、具体的证据支持。</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框架方面，本研究首先基于现有的理论基础，构建起一个包含自我决定理论、社会认知理论、社会化理论和价值观理论的理论体系。随后，通过问卷调查法获取数据，并利用统计分析法对数据进行处理和分析，同时辅以案例分析法深入探讨具体案例，以确保研究的广度和深度。最后，根据研究结果提出相应的结论和建议，为大学生个人发展提供指导，同时为教育机构和政策制定者提供参考依据。</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本研究通过综合运用问卷调查法、统计分析法和案例分析法等多种研究方法，在一定程度上克服了单一方法可能带来的局限性，力图通过一个多元化、多角度的研究视角，深入探索和分析数据分析背景下大学生择业价值观的形成机制和影响因素，为促进大学生健康择业提供理论和实践的支持。</w:t>
      </w:r>
    </w:p>
    <w:p w:rsidR="00A77B3E">
      <w:pPr>
        <w:pStyle w:val="Heading2"/>
        <w:spacing w:before="300" w:after="300" w:line="525" w:lineRule="atLeast"/>
        <w:ind w:firstLineChars="0"/>
        <w:jc w:val="left"/>
        <w:rPr>
          <w:rFonts w:ascii="宋体" w:eastAsia="宋体" w:hAnsi="宋体" w:cs="宋体"/>
          <w:b/>
          <w:i w:val="0"/>
          <w:color w:val="333333"/>
          <w:sz w:val="27"/>
        </w:rPr>
      </w:pPr>
      <w:bookmarkStart w:id="4" w:name="_Toc256000004"/>
      <w:r>
        <w:rPr>
          <w:rFonts w:ascii="宋体" w:eastAsia="宋体" w:hAnsi="宋体" w:cs="宋体"/>
          <w:b/>
          <w:i w:val="0"/>
          <w:color w:val="333333"/>
          <w:sz w:val="27"/>
        </w:rPr>
        <w:t>1.4 研究创新点及不足之处</w:t>
      </w:r>
      <w:bookmarkEnd w:id="4"/>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本研究在探讨大学生择业价值观的背景下，通过数据分析方法对影响因素进行深入研究，展现出以下几个方面的创新点</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cref2</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[3]</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融合了多种理论视角，本研究不仅仅依靠单一的理论框架，而是结合自我决定理论、社会认知理论和社会化理论等多维度理论，全面解析大学生择业价值观的形成机制。这种综合应用有助于更深层次地理解大学生的价值取向，为后续研究提供了新的视角。</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实施了一项覆盖范围广泛的问卷调查，针对不同地区、不同专业的大学生进行调研，确保了样本的代表性和研究结果的普适性。此外，通过与百度学术和Google学术数据库的对比分析，进一步丰富了研究数据，增强了研究的实证基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采用了先进的数据分析技术和方法，如多元回归分析、因子分析等，这些方法有助于揭示变量之间复杂的关系，提高了研究的准确性和可靠性。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尽管研究具有上述创新点，但也存在一些不足之处：</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样本选择上虽然尝试了广泛的覆盖，但受限于资源和时间的限制，未能涵盖所有类型的大学生群体，例如海外留学生或特殊教育需求的学生，他们的择业价值观可能与普通大学生有所不同。</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在问卷设计过程中，虽然参考了众多已有的量表，但仍可能存在文化敏感性的问题。特别是在量表的翻译和校对过程中，不同的语境和文化背景可能会导致题目的理解偏差，影响数据的准确性。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数据分析阶段，虽然采用了多种统计方法，但对于某些潜在的变量之间的非线性关系可能没有充分探索，这可能会影响到结果的完整性和深度。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4. 研究结论部分对于提出建议时缺乏足够的深度和细节。在为高校提供择业指导和政策制定者提出相应建议时，需要更加具体和操作性强的建议，以便能够有效促进大学生职业价值观的正向发展。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体而言，本研究在理解大学生择业价值观方面做出了积极的贡献，但同时也指出了研究过程中的不足之处，为后续研究提供了改进方向。未来的研究可以考虑扩大样本范围，深化理论分析，以及运用更先进的数据分析技术，从而获得更加全面和深入的研究成果。</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5" w:name="_Toc256000005"/>
      <w:r>
        <w:rPr>
          <w:rFonts w:ascii="宋体" w:eastAsia="宋体" w:hAnsi="宋体" w:cs="宋体"/>
          <w:b/>
          <w:i w:val="0"/>
          <w:color w:val="333333"/>
          <w:sz w:val="32"/>
        </w:rPr>
        <w:t>二、理论基础</w:t>
      </w:r>
      <w:bookmarkEnd w:id="5"/>
    </w:p>
    <w:p w:rsidR="00A77B3E">
      <w:pPr>
        <w:pStyle w:val="Heading2"/>
        <w:spacing w:before="300" w:after="300" w:line="525" w:lineRule="atLeast"/>
        <w:ind w:firstLineChars="0"/>
        <w:jc w:val="left"/>
        <w:rPr>
          <w:rFonts w:ascii="宋体" w:eastAsia="宋体" w:hAnsi="宋体" w:cs="宋体"/>
          <w:b/>
          <w:i w:val="0"/>
          <w:color w:val="333333"/>
          <w:sz w:val="27"/>
        </w:rPr>
      </w:pPr>
      <w:bookmarkStart w:id="6" w:name="_Toc256000006"/>
      <w:r>
        <w:rPr>
          <w:rFonts w:ascii="宋体" w:eastAsia="宋体" w:hAnsi="宋体" w:cs="宋体"/>
          <w:b/>
          <w:i w:val="0"/>
          <w:color w:val="333333"/>
          <w:sz w:val="27"/>
        </w:rPr>
        <w:t>2.1 自我决定理论</w:t>
      </w:r>
      <w:bookmarkEnd w:id="6"/>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自我决定理论（Self-Determination Theory，SDT）是由心理学家Ed Deci和Rich Ryan于1985年提出的。这一理论主要探讨人类动机的本质，并将其与基本心理需求联系起来，认为人类的行为动机源自于满足这些基本的心理需求，包括自主性（autonomy）、能力感（competence）、归属感（relatedness）。这三个心理需求构成了人的内在动机，而非外在奖励或压力所能完全解释。</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自我决定理论在教育、工作、健康等多个领域得到了广泛应用，尤其是在探讨个体在不同环境下的心理状态和行为模式方面显示出了重要的研究价值。该理论认为，当个体的基本心理需求得到满足时，他们的行为动机将更加内化，这种内化的动机促使个体表现出更高的学习效率、更大的创新性以及更强的持久性。反之，如果这些基本心理需求被忽视或未得到满足，个体的外在动机就会占据主导地位，这可能导致行为的短暂性、缺乏创造力以及对外部奖励的过度依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大学生择业价值观的研究中，自我决定理论提供了一个有力的分析框架。根据这一理论，大学生在选择职业路径时，其内在心理需求是否得到满足，以及这种满足程度如何影响他们的决策过程，是评估其择业价值观的一个重要视角。例如，当大学生感到他们的选择充分反映了他们的个人愿望和兴趣，他们就可能表现出更高的自主性和能力感；当他们在职业选择过程中感受到强烈的归属感，如从家庭、朋友或社会群体中获得支持时，他们的归属需求也会得到满足。</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进一步地，自我决定理论还指出，外在因素如家庭、教育机构和社会文化对个体的职业价值观同样具有深远的影响。例如，家庭教育方式、学校的激励机制以及社会对不同职业的偏见和期望都可能影响大学生的择业决策。在这样的框架下，研究者能够深入分析不同因素如何作用于大学生的心理需求，从而理解他们的择业价值观背后的动机和倾向。</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结而言，自我决定理论为理解大学生择业价值观提供了一个坚实的理论基础。通过考虑个体的基本心理需求如何影响其职业选择，研究者能够更深入地探索和解释大学生在职业道路上的决策过程，以及这些决策如何受到内外因素的共同作用。这一理论不仅对学术研究具有重要意义，也为教育工作者、政策制定者以及职业咨询师提供了宝贵的指导，帮助他们更好地理解和支持大学生的职业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7" w:name="_Toc256000007"/>
      <w:r>
        <w:rPr>
          <w:rFonts w:ascii="宋体" w:eastAsia="宋体" w:hAnsi="宋体" w:cs="宋体"/>
          <w:b/>
          <w:i w:val="0"/>
          <w:color w:val="333333"/>
          <w:sz w:val="27"/>
        </w:rPr>
        <w:t>2.2 社会认知理论</w:t>
      </w:r>
      <w:bookmarkEnd w:id="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社会认知理论是由心理学家亚伦·贝克（Aaron Beck）在1967年提出的，该理论主要研究个体如何通过感知、解释和评估外界信息来理解自我与环境的关系。在这一理论框架下，个体对自我、他人以及世界的认知被视为影响其行为的关键因素。社会认知理论认为，大学生择业价值观的形成和发展受到其社会认知过程的深刻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该理论强调个体的认知结构在其行为选择中起着决定性作用。例如，在大学生择业价值观的形成过程中，他们如何解读自己和未来的职场环境，如何评估各种职业的价值，以及如何根据这些认知来做出职业选择，都体现了社会认知理论的核心内容。</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社会认知理论还涉及到人际互动和社会化过程对个体认知和行为的影响。大学生在与家庭、朋友、师长等社会交往过程中所获得的信息和经验，对其择业价值观的塑造具有不可忽视的作用。这一理论指出，社会互动不仅提供了个体获取知识和技能的机会，而且通过模仿和学习，使个体能够调整和优化其认知结构和行为模式。</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在探讨大学生择业价值观的社会认知过程时，可以从以下几个方面进行分析：</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自我概念的构建：大学生如何根据自己的兴趣、能力和价值观构建个人身份，这一过程中他们如何评价自我，并将其置于更广泛的社会文化背景中。</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目标设定与动机：探讨大学生如何设定个人职业目标，并基于这些目标形成相应的价值取向。动机不仅来源于内在的需要，如成就感、归属感等，也来源于外部的激励，如家庭期望、社会标准等。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决策过程：分析大学生在面对不同职业选择时，如何通过比较不同职业的利弊，结合自身条件和偏好，做出最终的职业决策。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4. 情境感知与应对策略：研究大学生如何识别和评估面临的择业情境，包括工作环境、职业要求和社会变迁等，以及他们如何根据这些感知调整自己的行为策略。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社会认知理论为理解大学生择业价值观提供了一个有力的理论框架。通过分析大学生如何通过社会认知过程来解释和应对其择业环境，该理论揭示了大学生在职业选择过程中认知的复杂性和多维性。此外，社会认知理论也为指导大学生健康、理性的职业价值观发展提供了重要的理论依据。</w:t>
      </w:r>
    </w:p>
    <w:p w:rsidR="00A77B3E">
      <w:pPr>
        <w:pStyle w:val="Heading2"/>
        <w:spacing w:before="300" w:after="300" w:line="525" w:lineRule="atLeast"/>
        <w:ind w:firstLineChars="0"/>
        <w:jc w:val="left"/>
        <w:rPr>
          <w:rFonts w:ascii="宋体" w:eastAsia="宋体" w:hAnsi="宋体" w:cs="宋体"/>
          <w:b/>
          <w:i w:val="0"/>
          <w:color w:val="333333"/>
          <w:sz w:val="27"/>
        </w:rPr>
      </w:pPr>
      <w:bookmarkStart w:id="8" w:name="_Toc256000008"/>
      <w:r>
        <w:rPr>
          <w:rFonts w:ascii="宋体" w:eastAsia="宋体" w:hAnsi="宋体" w:cs="宋体"/>
          <w:b/>
          <w:i w:val="0"/>
          <w:color w:val="333333"/>
          <w:sz w:val="27"/>
        </w:rPr>
        <w:t>2.3 社会化理论</w:t>
      </w:r>
      <w:bookmarkEnd w:id="8"/>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社会化理论在研究大学生择业价值观中占有重要位置，它探讨了个体如何通过与外界互动，学习社会规范、行为模式以及价值观的过程。该理论认为，个人从出生起就在不断地通过家庭、学校、工作场所等社会环境接触到各种文化和社会规范，并在此过程中形成自己的价值观和行为模式。</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社会化的阶段理论。该理论将个体的社会化过程划分为不同的阶段，每个阶段都有其特定的社会化功能和影响。在大学生的择业价值观形成过程中，他们经历了从家庭到学校再到社会的多重社会化阶段。家庭作为初级社会化的场所，影响着个体的基本价值观和态度；而学校社会化则强化了这些基础价值观，并引入了更多的专业知识和社会规范；进入社会后，个体的择业价值观会进一步受到工作环境和职业生涯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社会交换理论。根据社会交换理论，个体在与他人交往的过程中，会不断地评估交换关系中的成本与收益，从而指导自己的行为。大学生在选择职业时，不仅考虑自身的兴趣和能力，还会评估就业市场的机会成本和潜在收益。这种基于利益评估的决策过程，直接影响着他们的择业价值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文化资本理论。皮埃尔·布迪欧提出的文化资本理论，认为个体在社会交往中通过教育、技能和知识的获取，积累文化资本。大学生在接受高等教育的过程中，通过学习新知识和技能，提高了自身的文化资本。这种提高的文化资本不仅影响着他们对职业的选择，也塑造了他们的择业价值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4. 规范一致理论。规范一致理论强调个体在行为选择时，倾向于遵循内心深处的价值观和信仰。如果一个人的择业价值观与其周围社会环境中的主流价值观一致，他或她更可能按照这些价值观来指导自己的职业选择和生活方式。反之，如果存在较大的差异，可能会产生价值冲突，导致个体在职业选择上感到困惑和矛盾。</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社会化理论为理解大学生择业价值观的形成提供了一个全面的分析框架。通过这一理论，可以深入探究个体在不同社会化阶段所受到的影响，以及这些影响如何共同作用于个体的择业价值观的形成过程中。了解和应用社会化理论，有助于更好地理解和引导大学生形成积极、健康的择业价值观。</w:t>
      </w:r>
    </w:p>
    <w:p w:rsidR="00A77B3E">
      <w:pPr>
        <w:pStyle w:val="Heading2"/>
        <w:spacing w:before="300" w:after="300" w:line="525" w:lineRule="atLeast"/>
        <w:ind w:firstLineChars="0"/>
        <w:jc w:val="left"/>
        <w:rPr>
          <w:rFonts w:ascii="宋体" w:eastAsia="宋体" w:hAnsi="宋体" w:cs="宋体"/>
          <w:b/>
          <w:i w:val="0"/>
          <w:color w:val="333333"/>
          <w:sz w:val="27"/>
        </w:rPr>
      </w:pPr>
      <w:bookmarkStart w:id="9" w:name="_Toc256000009"/>
      <w:r>
        <w:rPr>
          <w:rFonts w:ascii="宋体" w:eastAsia="宋体" w:hAnsi="宋体" w:cs="宋体"/>
          <w:b/>
          <w:i w:val="0"/>
          <w:color w:val="333333"/>
          <w:sz w:val="27"/>
        </w:rPr>
        <w:t>2.4 价值观理论</w:t>
      </w:r>
      <w:bookmarkEnd w:id="9"/>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价值观理论在心理学和社会学领域占有重要地位，它强调个体或群体对于什么是重要、应该如何行为的深层次信念和判断。这些价值观可以是关于个人或集体的道德标准、人生目标、社会规范等方面的。价值观不仅影响人们的行为和决策，也是理解人类行为和社会变迁的关键因素之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大学生择业价值观研究中，价值观理论为我们提供了一个分析框架。根据该理论，大学生的择业价值观受多种因素影响，包括但不限于家庭背景、教育经历、社会文化环境以及个人成长经历。这些因素共同塑造了大学生对于职业选择的态度和期望，进而影响其择业决策</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cref3</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[4]</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家庭背景对大学生择业价值观的形成具有深远影响。家庭成员的职业选择和价值观传递给大学生，成为他们认识世界和自我定位的初步来源。例如，来自高度职业化家庭的大学生可能更加倾向于追求专业性和经济收益较高的职业。</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教育经历也是影响大学生择业价值观的重要因素。高等教育不仅提供了知识和技能，还通过课程设置、教师指导、课外活动等途径间接传递了职业发展的价值观。这包括对持续学习的重视、对创新和创造性的鼓励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社会文化环境对大学生价值观的塑造同样不可忽视。在快速变化的社会中，媒体、互联网、社交网络等平台传播的信息和价值观念对大学生的影响日益增大。社会对某些职业的偏好、职场的变迁趋势等都可能成为大学生在选择职业时考虑的因素。</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4. 个人成长经历，包括未成年时期的经历、亲身经历的成功与失败等，也深刻地影响着大学生的价值观。这些个人经历构成了他们对职业和生活的深层理解，为其择业决策提供了内在动力。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具体研究中，通过问卷调查、访谈等方法收集数据，分析大学生在不同情境下的择业价值观表达及其背后的因素，可以更深入地理解大学生的职业选择过程。通过比较不同背景大学生的择业价值观差异，也可以揭示出社会结构变迁对个人价值观形成的影响</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cref4</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[5]</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价值观理论为理解大学生择业价值观提供了一个全面的视角。通过深入研究这一理论，可以更好地把握大学生在职业选择上的心理机制和社会文化背景的影响，为促进其职业发展和职业教育改革提供理论支持</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cref5</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[6]</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10" w:name="_Toc256000010"/>
      <w:r>
        <w:rPr>
          <w:rFonts w:ascii="宋体" w:eastAsia="宋体" w:hAnsi="宋体" w:cs="宋体"/>
          <w:b/>
          <w:i w:val="0"/>
          <w:color w:val="333333"/>
          <w:sz w:val="32"/>
        </w:rPr>
        <w:t>三、问卷调查设计</w:t>
      </w:r>
      <w:bookmarkEnd w:id="10"/>
    </w:p>
    <w:p w:rsidR="00A77B3E">
      <w:pPr>
        <w:pStyle w:val="Heading2"/>
        <w:spacing w:before="300" w:after="300" w:line="525" w:lineRule="atLeast"/>
        <w:ind w:firstLineChars="0"/>
        <w:jc w:val="left"/>
        <w:rPr>
          <w:rFonts w:ascii="宋体" w:eastAsia="宋体" w:hAnsi="宋体" w:cs="宋体"/>
          <w:b/>
          <w:i w:val="0"/>
          <w:color w:val="333333"/>
          <w:sz w:val="27"/>
        </w:rPr>
      </w:pPr>
      <w:bookmarkStart w:id="11" w:name="_Toc256000011"/>
      <w:r>
        <w:rPr>
          <w:rFonts w:ascii="宋体" w:eastAsia="宋体" w:hAnsi="宋体" w:cs="宋体"/>
          <w:b/>
          <w:i w:val="0"/>
          <w:color w:val="333333"/>
          <w:sz w:val="27"/>
        </w:rPr>
        <w:t>3.1 量表的编制</w:t>
      </w:r>
      <w:bookmarkEnd w:id="1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进行大学生择业价值观的研究中，量表的编制是至关重要的一步。量表的设计需要确保能够全面、准确地测量研究变量，从而为后续的数据分析提供可靠的基础。本研究采用了自我决定理论、社会认知理论、社会化理论和价值观理论作为理论基础，通过综合这些理论的核心概念，构建了一个涵盖个人价值观、社会影响因素以及个人行为意向的综合性量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量表的编制过程包括以下几个关键步骤：</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确定测量维度：根据理论基础，明确量表需要测量的主要维度，例如个人价值观、社会影响、个人行为意向等。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项目生成：基于确定的维度，生成初步的题目列表。这些题目旨在覆盖每个维度的关键方面。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专家评审：邀请领域内的专家对题目进行评审，以确保题目的有效性和适用性。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4. 预测试：在小范围内进行预测试，收集数据并进行统计分析，以检验题目的信度和效度。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5. 量表修订：根据预测试的结果，对题目进行必要的修订，以提高量表的整体质量。</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量表的编制过程中，我们特别注重题目的表述清晰、简洁，避免使用专业术语，以确保所有受访者都能理解和回答。此外，为了保证量表的科学性和实用性，每个维度下的题目都尽可能地覆盖该维度的不同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1306"/>
        <w:gridCol w:w="905"/>
        <w:gridCol w:w="1306"/>
        <w:gridCol w:w="5449"/>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维度</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题目数量</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平均题目长度</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题目示例</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个人价值观</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15</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 我认为工作应该给予我满足感和成就感。</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社会影响</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12</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 我的朋友通常会影响我的职业选择。</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个人行为意向</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 如果有机会，我会考虑从事与我的兴趣爱好相关的工作。</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pPr>
        <w:spacing w:before="0" w:after="0"/>
        <w:ind w:left="0" w:right="0"/>
        <w:jc w:val="center"/>
        <w:rPr>
          <w:rFonts w:ascii="Times New Roman" w:eastAsia="Times New Roman" w:hAnsi="Times New Roman" w:cs="Times New Roman"/>
        </w:rPr>
      </w:pPr>
      <w:r>
        <w:rPr>
          <w:rFonts w:ascii="Times New Roman" w:eastAsia="Times New Roman" w:hAnsi="Times New Roman" w:cs="Times New Roman"/>
          <w:strike w:val="0"/>
          <w:u w:val="none"/>
        </w:rPr>
        <w:drawing>
          <wp:inline>
            <wp:extent cx="5731510" cy="4200618"/>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5731510" cy="4200618"/>
                    </a:xfrm>
                    <a:prstGeom prst="rect">
                      <a:avLst/>
                    </a:prstGeom>
                  </pic:spPr>
                </pic:pic>
              </a:graphicData>
            </a:graphic>
          </wp:inline>
        </w:drawing>
      </w:r>
    </w:p>
    <w:p w:rsidR="00A77B3E">
      <w:pPr>
        <w:pStyle w:val="BodyText"/>
        <w:spacing w:before="0" w:after="0" w:line="450" w:lineRule="atLeast"/>
        <w:ind w:firstLine="480" w:firstLineChars="200"/>
        <w:jc w:val="center"/>
        <w:rPr>
          <w:rFonts w:ascii="宋体" w:eastAsia="宋体" w:hAnsi="宋体" w:cs="宋体"/>
          <w:b w:val="0"/>
          <w:i w:val="0"/>
          <w:color w:val="333333"/>
          <w:sz w:val="24"/>
        </w:rPr>
      </w:pPr>
      <w:r>
        <w:rPr>
          <w:rFonts w:ascii="宋体" w:eastAsia="宋体" w:hAnsi="宋体" w:cs="宋体"/>
          <w:b w:val="0"/>
          <w:i w:val="0"/>
          <w:color w:val="333333"/>
          <w:sz w:val="24"/>
        </w:rPr>
        <w:t>流程图-1</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步骤，我们最终构建了一个包含多个维度的量表，旨在全面评估大学生的择业价值观及其影响因素。量表的每一项都经过了严格的设计和验证，确保了其科学性和实用性。接下来，我们将在实际调查中使用这个量表，以收集数据并进行深入分析。</w:t>
      </w:r>
    </w:p>
    <w:p w:rsidR="00A77B3E">
      <w:pPr>
        <w:pStyle w:val="Heading2"/>
        <w:spacing w:before="300" w:after="300" w:line="525" w:lineRule="atLeast"/>
        <w:ind w:firstLineChars="0"/>
        <w:jc w:val="left"/>
        <w:rPr>
          <w:rFonts w:ascii="宋体" w:eastAsia="宋体" w:hAnsi="宋体" w:cs="宋体"/>
          <w:b/>
          <w:i w:val="0"/>
          <w:color w:val="333333"/>
          <w:sz w:val="27"/>
        </w:rPr>
      </w:pPr>
      <w:bookmarkStart w:id="12" w:name="_Toc256000012"/>
      <w:r>
        <w:rPr>
          <w:rFonts w:ascii="宋体" w:eastAsia="宋体" w:hAnsi="宋体" w:cs="宋体"/>
          <w:b/>
          <w:i w:val="0"/>
          <w:color w:val="333333"/>
          <w:sz w:val="27"/>
        </w:rPr>
        <w:t>3.2 调查对象的确定</w:t>
      </w:r>
      <w:bookmarkEnd w:id="12"/>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进行大学生择业价值观的研究时，调查对象的选择至关重要。为了确保研究结果的代表性和准确性，本研究选取了来自不同地区、不同专业背景的大学生作为调查对象。通过精心设计的抽样方法，旨在涵盖广泛的样本群体，以便更全面地理解和分析大学生的择业价值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研究对象主要包括以下几个方面：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地理位置：为了保证研究的广泛性，调查对象将覆盖中国不同省份的高校，包括但不限于东部沿海发达地区、中部地区以及西部地区的高校。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学科专业：考虑到不同学科专业可能对学生的择业价值观产生不同的影响，本研究将选取包括文科、理科、工科、艺术等多个学科领域的学生。</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年级与性别：为了确保样本的多样性，调查对象将涵盖不同年级的学生，包括大一至大四的学生，并且在性别上也将尽量保持均衡，以避免性别偏见对研究结果的影响。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基于以上考虑，本研究采用分层随机抽样的方法来确定调查对象。具体的抽样步骤如下：</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xml:space="preserve"> 首先，根据不同地区的高校数量，将高校分为若干层次。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xml:space="preserve"> 然后，在每一层中随机选择若干所高校。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xml:space="preserve"> 接着，在每所被选中的高校中，随机抽取一定比例的学生作为调查对象。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xml:space="preserve"> 最后，确保所抽取的学生在年级和性别上具有代表性。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为了更直观地展示调查对象的基本信息，下面提供了一个示例表格：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331"/>
        <w:gridCol w:w="1615"/>
        <w:gridCol w:w="1973"/>
        <w:gridCol w:w="3047"/>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地区</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高校数量</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抽样高校数</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参与调查的学生数</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东部沿海地区</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500</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中部地区</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7</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350</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西部地区</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15</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250</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抽样方法，本研究旨在构建一个既具有代表性又能反映多样性的调查样本，以期能够全面地分析和理解大学生在数据分析背景下的择业价值观。通过对这些样本的深入分析，研究将揭示不同因素如运动、社交、传媒、家庭教育和交友圈等对大学生择业价值观的影响，为高校就业指导和政策制定提供科学依据。</w:t>
      </w:r>
    </w:p>
    <w:p w:rsidR="00A77B3E">
      <w:pPr>
        <w:pStyle w:val="Heading2"/>
        <w:spacing w:before="300" w:after="300" w:line="525" w:lineRule="atLeast"/>
        <w:ind w:firstLineChars="0"/>
        <w:jc w:val="left"/>
        <w:rPr>
          <w:rFonts w:ascii="宋体" w:eastAsia="宋体" w:hAnsi="宋体" w:cs="宋体"/>
          <w:b/>
          <w:i w:val="0"/>
          <w:color w:val="333333"/>
          <w:sz w:val="27"/>
        </w:rPr>
      </w:pPr>
      <w:bookmarkStart w:id="13" w:name="_Toc256000013"/>
      <w:r>
        <w:rPr>
          <w:rFonts w:ascii="宋体" w:eastAsia="宋体" w:hAnsi="宋体" w:cs="宋体"/>
          <w:b/>
          <w:i w:val="0"/>
          <w:color w:val="333333"/>
          <w:sz w:val="27"/>
        </w:rPr>
        <w:t>3.3 数据收集与分析方法</w:t>
      </w:r>
      <w:bookmarkEnd w:id="1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本研究中，数据收集主要依赖于问卷调查的方式。问卷设计基于前期的文献回顾和理论框架，确保涵盖了自我决定理论、社会认知理论、社会化理论以及价值观理论等相关理论的关键变量。问卷采用5点李克特量表（1=非常不同意，5=非常同意），旨在评估大学生在不同环境因素下择业价值观的变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数据收集过程中，首先通过在线平台和校园内发放问卷，确保样本的多样性和代表性。调查对象主要为全国范围内的大学生，包括不同专业、年级和性别的学生，以期获得具有广泛代表性的数据。为了保证数据的有效性和可靠性，问卷设计了若干预问以排除无效或错误填写的问卷，最终筛选出合格的问卷进行后续分析。</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数据分析采用SPSS统计软件进行，主要包括描述性统计分析、信度检验、方差分析和回归分析等。描述性统计分析用于概述样本的基本信息和各变量的分布情况。信度检验采用Cronbach's α系数来评估问卷各部分的内部一致性。方差分析用于比较不同群体间的差异，而回归分析则用于探究各影响因素对大学生择业价值观的影响程度及其相互作用。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在数据分析过程中，特别关注运动、社交、传媒、家庭教育和交友圈等因素对大学生择业价值观的具体影响。通过构建回归模型，可以定量地评估这些因素的影响力度和方向。例如，设</w:t>
      </w:r>
      <m:oMathPara>
        <m:oMathParaPr>
          <m:jc m:val="left"/>
        </m:oMathParaPr>
        <m:oMath>
          <m:r>
            <w:rPr>
              <w:rFonts w:ascii="Cambria Math" w:eastAsia="Cambria Math" w:hAnsi="Cambria Math" w:cs="Cambria Math"/>
            </w:rPr>
            <m:t>Y</m:t>
          </m:r>
        </m:oMath>
      </m:oMathPara>
      <w:r>
        <w:rPr>
          <w:rFonts w:ascii="宋体" w:eastAsia="宋体" w:hAnsi="宋体" w:cs="宋体"/>
          <w:b w:val="0"/>
          <w:i w:val="0"/>
          <w:color w:val="333333"/>
          <w:sz w:val="24"/>
        </w:rPr>
        <w:t>为大学生的择业价值观得分，</w:t>
      </w:r>
      <m:oMathPara>
        <m:oMathParaPr>
          <m:jc m:val="left"/>
        </m:oMathParaPr>
        <m:oMath>
          <m:sSub>
            <m:e>
              <m:r>
                <w:rPr>
                  <w:rFonts w:ascii="Cambria Math" w:eastAsia="Cambria Math" w:hAnsi="Cambria Math" w:cs="Cambria Math"/>
                </w:rPr>
                <m:t>X</m:t>
              </m:r>
            </m:e>
            <m:sub>
              <m:r>
                <w:rPr>
                  <w:rFonts w:ascii="Cambria Math" w:eastAsia="Cambria Math" w:hAnsi="Cambria Math" w:cs="Cambria Math"/>
                </w:rPr>
                <m:t>1</m:t>
              </m:r>
            </m:sub>
          </m:sSub>
          <m:r>
            <w:rPr>
              <w:rFonts w:ascii="Cambria Math" w:eastAsia="Cambria Math" w:hAnsi="Cambria Math" w:cs="Cambria Math"/>
            </w:rPr>
            <m:t>,</m:t>
          </m:r>
          <m:sSub>
            <m:e>
              <m:r>
                <w:rPr>
                  <w:rFonts w:ascii="Cambria Math" w:eastAsia="Cambria Math" w:hAnsi="Cambria Math" w:cs="Cambria Math"/>
                </w:rPr>
                <m:t>X</m:t>
              </m:r>
            </m:e>
            <m:sub>
              <m:r>
                <w:rPr>
                  <w:rFonts w:ascii="Cambria Math" w:eastAsia="Cambria Math" w:hAnsi="Cambria Math" w:cs="Cambria Math"/>
                </w:rPr>
                <m:t>2</m:t>
              </m:r>
            </m:sub>
          </m:sSub>
          <m:r>
            <w:rPr>
              <w:rFonts w:ascii="Cambria Math" w:eastAsia="Cambria Math" w:hAnsi="Cambria Math" w:cs="Cambria Math"/>
            </w:rPr>
            <m:t>,</m:t>
          </m:r>
          <m:r>
            <w:rPr>
              <w:rFonts w:ascii="Cambria Math" w:eastAsia="Cambria Math" w:hAnsi="Cambria Math" w:cs="Cambria Math"/>
            </w:rPr>
            <m:t>…</m:t>
          </m:r>
          <m:r>
            <w:rPr>
              <w:rFonts w:ascii="Cambria Math" w:eastAsia="Cambria Math" w:hAnsi="Cambria Math" w:cs="Cambria Math"/>
            </w:rPr>
            <m:t>,</m:t>
          </m:r>
          <m:sSub>
            <m:e>
              <m:r>
                <w:rPr>
                  <w:rFonts w:ascii="Cambria Math" w:eastAsia="Cambria Math" w:hAnsi="Cambria Math" w:cs="Cambria Math"/>
                </w:rPr>
                <m:t>X</m:t>
              </m:r>
            </m:e>
            <m:sub>
              <m:r>
                <w:rPr>
                  <w:rFonts w:ascii="Cambria Math" w:eastAsia="Cambria Math" w:hAnsi="Cambria Math" w:cs="Cambria Math"/>
                </w:rPr>
                <m:t>n</m:t>
              </m:r>
            </m:sub>
          </m:sSub>
        </m:oMath>
      </m:oMathPara>
      <w:r>
        <w:rPr>
          <w:rFonts w:ascii="宋体" w:eastAsia="宋体" w:hAnsi="宋体" w:cs="宋体"/>
          <w:b w:val="0"/>
          <w:i w:val="0"/>
          <w:color w:val="333333"/>
          <w:sz w:val="24"/>
        </w:rPr>
        <w:t>为影响因素，则回归模型可以表示为：</w:t>
      </w:r>
    </w:p>
    <w:p w:rsidR="00A77B3E">
      <w:pPr>
        <w:pStyle w:val="BodyText"/>
        <w:spacing w:before="0" w:after="0" w:line="450" w:lineRule="atLeast"/>
        <w:ind w:firstLine="480" w:firstLineChars="200"/>
        <w:jc w:val="left"/>
        <w:rPr>
          <w:rFonts w:ascii="宋体" w:eastAsia="宋体" w:hAnsi="宋体" w:cs="宋体"/>
          <w:b w:val="0"/>
          <w:i w:val="0"/>
          <w:color w:val="333333"/>
          <w:sz w:val="24"/>
        </w:rPr>
      </w:pPr>
      <m:oMathPara>
        <m:oMathParaPr>
          <m:jc m:val="left"/>
        </m:oMathParaPr>
        <m:oMath>
          <m:r>
            <w:rPr>
              <w:rFonts w:ascii="Cambria Math" w:eastAsia="Cambria Math" w:hAnsi="Cambria Math" w:cs="Cambria Math"/>
            </w:rPr>
            <m:t>Y</m:t>
          </m:r>
          <m:r>
            <w:rPr>
              <w:rFonts w:ascii="Cambria Math" w:eastAsia="Cambria Math" w:hAnsi="Cambria Math" w:cs="Cambria Math"/>
            </w:rPr>
            <m:t>=</m:t>
          </m:r>
          <m:sSub>
            <m:e>
              <m:r>
                <w:rPr>
                  <w:rFonts w:ascii="Cambria Math" w:eastAsia="Cambria Math" w:hAnsi="Cambria Math" w:cs="Cambria Math"/>
                </w:rPr>
                <m:t>β</m:t>
              </m:r>
            </m:e>
            <m:sub>
              <m:r>
                <w:rPr>
                  <w:rFonts w:ascii="Cambria Math" w:eastAsia="Cambria Math" w:hAnsi="Cambria Math" w:cs="Cambria Math"/>
                </w:rPr>
                <m:t>0</m:t>
              </m:r>
            </m:sub>
          </m:sSub>
          <m:r>
            <w:rPr>
              <w:rFonts w:ascii="Cambria Math" w:eastAsia="Cambria Math" w:hAnsi="Cambria Math" w:cs="Cambria Math"/>
            </w:rPr>
            <m:t>+</m:t>
          </m:r>
          <m:sSub>
            <m:e>
              <m:r>
                <w:rPr>
                  <w:rFonts w:ascii="Cambria Math" w:eastAsia="Cambria Math" w:hAnsi="Cambria Math" w:cs="Cambria Math"/>
                </w:rPr>
                <m:t>β</m:t>
              </m:r>
            </m:e>
            <m:sub>
              <m:r>
                <w:rPr>
                  <w:rFonts w:ascii="Cambria Math" w:eastAsia="Cambria Math" w:hAnsi="Cambria Math" w:cs="Cambria Math"/>
                </w:rPr>
                <m:t>1</m:t>
              </m:r>
            </m:sub>
          </m:sSub>
          <m:sSub>
            <m:e>
              <m:r>
                <w:rPr>
                  <w:rFonts w:ascii="Cambria Math" w:eastAsia="Cambria Math" w:hAnsi="Cambria Math" w:cs="Cambria Math"/>
                </w:rPr>
                <m:t>X</m:t>
              </m:r>
            </m:e>
            <m:sub>
              <m:r>
                <w:rPr>
                  <w:rFonts w:ascii="Cambria Math" w:eastAsia="Cambria Math" w:hAnsi="Cambria Math" w:cs="Cambria Math"/>
                </w:rPr>
                <m:t>1</m:t>
              </m:r>
            </m:sub>
          </m:sSub>
          <m:r>
            <w:rPr>
              <w:rFonts w:ascii="Cambria Math" w:eastAsia="Cambria Math" w:hAnsi="Cambria Math" w:cs="Cambria Math"/>
            </w:rPr>
            <m:t>+</m:t>
          </m:r>
          <m:sSub>
            <m:e>
              <m:r>
                <w:rPr>
                  <w:rFonts w:ascii="Cambria Math" w:eastAsia="Cambria Math" w:hAnsi="Cambria Math" w:cs="Cambria Math"/>
                </w:rPr>
                <m:t>β</m:t>
              </m:r>
            </m:e>
            <m:sub>
              <m:r>
                <w:rPr>
                  <w:rFonts w:ascii="Cambria Math" w:eastAsia="Cambria Math" w:hAnsi="Cambria Math" w:cs="Cambria Math"/>
                </w:rPr>
                <m:t>2</m:t>
              </m:r>
            </m:sub>
          </m:sSub>
          <m:sSub>
            <m:e>
              <m:r>
                <w:rPr>
                  <w:rFonts w:ascii="Cambria Math" w:eastAsia="Cambria Math" w:hAnsi="Cambria Math" w:cs="Cambria Math"/>
                </w:rPr>
                <m:t>X</m:t>
              </m:r>
            </m:e>
            <m:sub>
              <m:r>
                <w:rPr>
                  <w:rFonts w:ascii="Cambria Math" w:eastAsia="Cambria Math" w:hAnsi="Cambria Math" w:cs="Cambria Math"/>
                </w:rPr>
                <m:t>2</m:t>
              </m:r>
            </m:sub>
          </m:sSub>
          <m:r>
            <w:rPr>
              <w:rFonts w:ascii="Cambria Math" w:eastAsia="Cambria Math" w:hAnsi="Cambria Math" w:cs="Cambria Math"/>
            </w:rPr>
            <m:t>+</m:t>
          </m:r>
          <m:r>
            <w:rPr>
              <w:rFonts w:ascii="Cambria Math" w:eastAsia="Cambria Math" w:hAnsi="Cambria Math" w:cs="Cambria Math"/>
            </w:rPr>
            <m:t>…</m:t>
          </m:r>
          <m:r>
            <w:rPr>
              <w:rFonts w:ascii="Cambria Math" w:eastAsia="Cambria Math" w:hAnsi="Cambria Math" w:cs="Cambria Math"/>
            </w:rPr>
            <m:t>+</m:t>
          </m:r>
          <m:sSub>
            <m:e>
              <m:r>
                <w:rPr>
                  <w:rFonts w:ascii="Cambria Math" w:eastAsia="Cambria Math" w:hAnsi="Cambria Math" w:cs="Cambria Math"/>
                </w:rPr>
                <m:t>β</m:t>
              </m:r>
            </m:e>
            <m:sub>
              <m:r>
                <w:rPr>
                  <w:rFonts w:ascii="Cambria Math" w:eastAsia="Cambria Math" w:hAnsi="Cambria Math" w:cs="Cambria Math"/>
                </w:rPr>
                <m:t>n</m:t>
              </m:r>
            </m:sub>
          </m:sSub>
          <m:sSub>
            <m:e>
              <m:r>
                <w:rPr>
                  <w:rFonts w:ascii="Cambria Math" w:eastAsia="Cambria Math" w:hAnsi="Cambria Math" w:cs="Cambria Math"/>
                </w:rPr>
                <m:t>X</m:t>
              </m:r>
            </m:e>
            <m:sub>
              <m:r>
                <w:rPr>
                  <w:rFonts w:ascii="Cambria Math" w:eastAsia="Cambria Math" w:hAnsi="Cambria Math" w:cs="Cambria Math"/>
                </w:rPr>
                <m:t>n</m:t>
              </m:r>
            </m:sub>
          </m:sSub>
          <m:r>
            <w:rPr>
              <w:rFonts w:ascii="Cambria Math" w:eastAsia="Cambria Math" w:hAnsi="Cambria Math" w:cs="Cambria Math"/>
            </w:rPr>
            <m:t>+</m:t>
          </m:r>
          <m:r>
            <w:rPr>
              <w:rFonts w:ascii="Cambria Math" w:eastAsia="Cambria Math" w:hAnsi="Cambria Math" w:cs="Cambria Math"/>
            </w:rPr>
            <m:t>ϵ</m:t>
          </m:r>
        </m:oMath>
      </m:oMathPara>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其中，</w:t>
      </w:r>
      <m:oMathPara>
        <m:oMathParaPr>
          <m:jc m:val="left"/>
        </m:oMathParaPr>
        <m:oMath>
          <m:sSub>
            <m:e>
              <m:r>
                <w:rPr>
                  <w:rFonts w:ascii="Cambria Math" w:eastAsia="Cambria Math" w:hAnsi="Cambria Math" w:cs="Cambria Math"/>
                </w:rPr>
                <m:t>β</m:t>
              </m:r>
            </m:e>
            <m:sub>
              <m:r>
                <w:rPr>
                  <w:rFonts w:ascii="Cambria Math" w:eastAsia="Cambria Math" w:hAnsi="Cambria Math" w:cs="Cambria Math"/>
                </w:rPr>
                <m:t>0</m:t>
              </m:r>
            </m:sub>
          </m:sSub>
        </m:oMath>
      </m:oMathPara>
      <w:r>
        <w:rPr>
          <w:rFonts w:ascii="宋体" w:eastAsia="宋体" w:hAnsi="宋体" w:cs="宋体"/>
          <w:b w:val="0"/>
          <w:i w:val="0"/>
          <w:color w:val="333333"/>
          <w:sz w:val="24"/>
        </w:rPr>
        <w:t>是截距项，</w:t>
      </w:r>
      <m:oMathPara>
        <m:oMathParaPr>
          <m:jc m:val="left"/>
        </m:oMathParaPr>
        <m:oMath>
          <m:sSub>
            <m:e>
              <m:r>
                <w:rPr>
                  <w:rFonts w:ascii="Cambria Math" w:eastAsia="Cambria Math" w:hAnsi="Cambria Math" w:cs="Cambria Math"/>
                </w:rPr>
                <m:t>β</m:t>
              </m:r>
            </m:e>
            <m:sub>
              <m:r>
                <w:rPr>
                  <w:rFonts w:ascii="Cambria Math" w:eastAsia="Cambria Math" w:hAnsi="Cambria Math" w:cs="Cambria Math"/>
                </w:rPr>
                <m:t>1</m:t>
              </m:r>
            </m:sub>
          </m:sSub>
          <m:r>
            <w:rPr>
              <w:rFonts w:ascii="Cambria Math" w:eastAsia="Cambria Math" w:hAnsi="Cambria Math" w:cs="Cambria Math"/>
            </w:rPr>
            <m:t>,</m:t>
          </m:r>
          <m:sSub>
            <m:e>
              <m:r>
                <w:rPr>
                  <w:rFonts w:ascii="Cambria Math" w:eastAsia="Cambria Math" w:hAnsi="Cambria Math" w:cs="Cambria Math"/>
                </w:rPr>
                <m:t>β</m:t>
              </m:r>
            </m:e>
            <m:sub>
              <m:r>
                <w:rPr>
                  <w:rFonts w:ascii="Cambria Math" w:eastAsia="Cambria Math" w:hAnsi="Cambria Math" w:cs="Cambria Math"/>
                </w:rPr>
                <m:t>2</m:t>
              </m:r>
            </m:sub>
          </m:sSub>
          <m:r>
            <w:rPr>
              <w:rFonts w:ascii="Cambria Math" w:eastAsia="Cambria Math" w:hAnsi="Cambria Math" w:cs="Cambria Math"/>
            </w:rPr>
            <m:t>,</m:t>
          </m:r>
          <m:r>
            <w:rPr>
              <w:rFonts w:ascii="Cambria Math" w:eastAsia="Cambria Math" w:hAnsi="Cambria Math" w:cs="Cambria Math"/>
            </w:rPr>
            <m:t>…</m:t>
          </m:r>
          <m:r>
            <w:rPr>
              <w:rFonts w:ascii="Cambria Math" w:eastAsia="Cambria Math" w:hAnsi="Cambria Math" w:cs="Cambria Math"/>
            </w:rPr>
            <m:t>,</m:t>
          </m:r>
          <m:sSub>
            <m:e>
              <m:r>
                <w:rPr>
                  <w:rFonts w:ascii="Cambria Math" w:eastAsia="Cambria Math" w:hAnsi="Cambria Math" w:cs="Cambria Math"/>
                </w:rPr>
                <m:t>β</m:t>
              </m:r>
            </m:e>
            <m:sub>
              <m:r>
                <w:rPr>
                  <w:rFonts w:ascii="Cambria Math" w:eastAsia="Cambria Math" w:hAnsi="Cambria Math" w:cs="Cambria Math"/>
                </w:rPr>
                <m:t>n</m:t>
              </m:r>
            </m:sub>
          </m:sSub>
        </m:oMath>
      </m:oMathPara>
      <w:r>
        <w:rPr>
          <w:rFonts w:ascii="宋体" w:eastAsia="宋体" w:hAnsi="宋体" w:cs="宋体"/>
          <w:b w:val="0"/>
          <w:i w:val="0"/>
          <w:color w:val="333333"/>
          <w:sz w:val="24"/>
        </w:rPr>
        <w:t>是各影响因素的系数，</w:t>
      </w:r>
      <m:oMathPara>
        <m:oMathParaPr>
          <m:jc m:val="left"/>
        </m:oMathParaPr>
        <m:oMath>
          <m:r>
            <w:rPr>
              <w:rFonts w:ascii="Cambria Math" w:eastAsia="Cambria Math" w:hAnsi="Cambria Math" w:cs="Cambria Math"/>
            </w:rPr>
            <m:t>ϵ</m:t>
          </m:r>
        </m:oMath>
      </m:oMathPara>
      <w:r>
        <w:rPr>
          <w:rFonts w:ascii="宋体" w:eastAsia="宋体" w:hAnsi="宋体" w:cs="宋体"/>
          <w:b w:val="0"/>
          <w:i w:val="0"/>
          <w:color w:val="333333"/>
          <w:sz w:val="24"/>
        </w:rPr>
        <w:t>是误差项。</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此外，为了更深入地理解数据，采用结构方程模型（SEM）对数据进行二次分析。结构方程模型能够同时考虑多个因素之间的关系和相互作用，为研究提供更为复杂和全面的视角。</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在数据处理阶段，采用Python编程语言进行数据清洗和预处理，确保数据质量。以下是一个简单的Python代码示例，用于数据清洗，去除缺失值和异常值：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```python</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import pandas as pd</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加载数据</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data = pd.read_csv('university_students_survey.csv')</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检查并处理缺失值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data.dropna(inplace=True)</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检查并处理异常值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Q75 = data['question_75']  # 假设'question_75'列存在异常值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Q75_outliers = Q75[abs(Q75 - Q75.mean()) &gt; 3*Q75.std()]</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data.drop(Q75_outliers.index, inplace=True)</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保存处理后的数据</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data.to_csv('processed_university_students_survey.csv', index=False)</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通过上述方法，本研究旨在全面分析数据，揭示不同因素对大学生择业价值观的影响，为高校就业指导和政策制定提供科学依据。</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14" w:name="_Toc256000014"/>
      <w:r>
        <w:rPr>
          <w:rFonts w:ascii="宋体" w:eastAsia="宋体" w:hAnsi="宋体" w:cs="宋体"/>
          <w:b/>
          <w:i w:val="0"/>
          <w:color w:val="333333"/>
          <w:sz w:val="32"/>
        </w:rPr>
        <w:t>四、数据描述性统计分析</w:t>
      </w:r>
      <w:bookmarkEnd w:id="14"/>
    </w:p>
    <w:p w:rsidR="00A77B3E">
      <w:pPr>
        <w:pStyle w:val="Heading2"/>
        <w:spacing w:before="300" w:after="300" w:line="525" w:lineRule="atLeast"/>
        <w:ind w:firstLineChars="0"/>
        <w:jc w:val="left"/>
        <w:rPr>
          <w:rFonts w:ascii="宋体" w:eastAsia="宋体" w:hAnsi="宋体" w:cs="宋体"/>
          <w:b/>
          <w:i w:val="0"/>
          <w:color w:val="333333"/>
          <w:sz w:val="27"/>
        </w:rPr>
      </w:pPr>
      <w:bookmarkStart w:id="15" w:name="_Toc256000015"/>
      <w:r>
        <w:rPr>
          <w:rFonts w:ascii="宋体" w:eastAsia="宋体" w:hAnsi="宋体" w:cs="宋体"/>
          <w:b/>
          <w:i w:val="0"/>
          <w:color w:val="333333"/>
          <w:sz w:val="27"/>
        </w:rPr>
        <w:t>4.1 样本基本信息</w:t>
      </w:r>
      <w:bookmarkEnd w:id="1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进行大学生择业价值观的研究时，样本的基本信息是理解数据分析背景下大学生择业价值观的重要基础。本研究通过问卷调查的方式收集了来自不同地区、不同专业、不同年级的大学生数据。样本的基本信息包括性别、年龄、学历、专业、家庭背景等多个维度，旨在全面了解大学生的基本情况，为后续的数据分析提供坚实的基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083"/>
        <w:gridCol w:w="2498"/>
        <w:gridCol w:w="4385"/>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性别</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数量</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占比(%)</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男</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320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50</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女</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320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50</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从性别分布来看，本次调查的大学生中男性和女性各占一半，体现了性别在样本中的均衡分布。这有助于研究者更准确地分析不同性别大学生在择业价值观上的差异。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接下来，考虑到年龄因素的影响，调查对象的年龄范围主要集中在18岁至24岁之间，这一年龄段的大学生正处于职业生涯的起始阶段，他们的择业价值观具有代表性和指导意义</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cref6</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[7]</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083"/>
        <w:gridCol w:w="2498"/>
        <w:gridCol w:w="4385"/>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性别</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数量</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占比(%)</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男</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320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50</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女</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320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50</w:t>
            </w:r>
          </w:p>
        </w:tc>
      </w:tr>
    </w:tbl>
    <w:p>
      <w:pPr>
        <w:rPr>
          <w:vanish/>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666"/>
        <w:gridCol w:w="2286"/>
        <w:gridCol w:w="4014"/>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年级</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数量</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占比(%)</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大一</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120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19</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大二</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大三</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200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31</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大四</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研究生</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从年级分布来看，样本中大三学生的数量最多，占比达到31%，其次是大一和大四学生，分别占19%和25%。这一分布反映了大学生在不同学习阶段对择业价值观的关注程度可能存在差异。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此外，考虑到学历背景的影响，样本中包含了本科生和研究生两个层次，分别占据了75%和25%的比例。这种分布有助于研究者探讨不同学历水平的大学生在择业价值观上的差异。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083"/>
        <w:gridCol w:w="2498"/>
        <w:gridCol w:w="4385"/>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性别</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数量</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占比(%)</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男</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320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50</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女</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320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50</w:t>
            </w:r>
          </w:p>
        </w:tc>
      </w:tr>
    </w:tbl>
    <w:p>
      <w:pPr>
        <w:rPr>
          <w:vanish/>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666"/>
        <w:gridCol w:w="2286"/>
        <w:gridCol w:w="4014"/>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年级</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数量</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占比(%)</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大一</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120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19</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大二</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大三</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200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31</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大四</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研究生</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r>
    </w:tbl>
    <w:p>
      <w:pPr>
        <w:rPr>
          <w:vanish/>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3578"/>
        <w:gridCol w:w="1956"/>
        <w:gridCol w:w="3433"/>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专业类别</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数量</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占比(%)</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理工类</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240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38</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文史类</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经济管理类</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200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31</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艺术类</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120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19</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其他</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80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12.5</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从专业类别的分布来看，样本中理工类学生的数量最多，占比达到38%，其次是经济管理类和文史类学生，分别占31%和25%。这一分布有助于研究者分析不同专业背景的大学生在择业价值观上的差异。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本研究的样本基本信息涵盖了性别、年龄、年级、学历、专业等多个维度，能够为深入分析大学生择业价值观提供丰富的数据支持。通过对这些基本信息的分析，研究者可以更好地理解样本的特点和分布情况，为后续的数据分析和讨论奠定坚实的基础。</w:t>
      </w:r>
    </w:p>
    <w:p w:rsidR="00A77B3E">
      <w:pPr>
        <w:pStyle w:val="Heading2"/>
        <w:spacing w:before="300" w:after="300" w:line="525" w:lineRule="atLeast"/>
        <w:ind w:firstLineChars="0"/>
        <w:jc w:val="left"/>
        <w:rPr>
          <w:rFonts w:ascii="宋体" w:eastAsia="宋体" w:hAnsi="宋体" w:cs="宋体"/>
          <w:b/>
          <w:i w:val="0"/>
          <w:color w:val="333333"/>
          <w:sz w:val="27"/>
        </w:rPr>
      </w:pPr>
      <w:bookmarkStart w:id="16" w:name="_Toc256000016"/>
      <w:r>
        <w:rPr>
          <w:rFonts w:ascii="宋体" w:eastAsia="宋体" w:hAnsi="宋体" w:cs="宋体"/>
          <w:b/>
          <w:i w:val="0"/>
          <w:color w:val="333333"/>
          <w:sz w:val="27"/>
        </w:rPr>
        <w:t>4.2 各量表项的信度检验</w:t>
      </w:r>
      <w:bookmarkEnd w:id="16"/>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在进行数据分析之前，确保问卷的各个量表项具有良好的信度是至关重要的。信度是指测量工具在重复测量中的一致性，常用的信度系数包括Cronbach's alpha、分半信度和重测信度。本研究采用Cronbach's alpha系数来评估问卷的整体信度。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Cronbach's alpha系数的计算公式为：</w:t>
      </w:r>
    </w:p>
    <w:p w:rsidR="00A77B3E">
      <w:pPr>
        <w:pStyle w:val="BodyText"/>
        <w:spacing w:before="0" w:after="0" w:line="450" w:lineRule="atLeast"/>
        <w:ind w:firstLine="480" w:firstLineChars="200"/>
        <w:jc w:val="left"/>
        <w:rPr>
          <w:rFonts w:ascii="宋体" w:eastAsia="宋体" w:hAnsi="宋体" w:cs="宋体"/>
          <w:b w:val="0"/>
          <w:i w:val="0"/>
          <w:color w:val="333333"/>
          <w:sz w:val="24"/>
        </w:rPr>
      </w:pPr>
      <m:oMathPara>
        <m:oMathParaPr>
          <m:jc m:val="left"/>
        </m:oMathParaPr>
        <m:oMath>
          <m:r>
            <w:rPr>
              <w:rFonts w:ascii="Cambria Math" w:eastAsia="Cambria Math" w:hAnsi="Cambria Math" w:cs="Cambria Math"/>
            </w:rPr>
            <m:t>α</m:t>
          </m:r>
          <m:r>
            <w:rPr>
              <w:rFonts w:ascii="Cambria Math" w:eastAsia="Cambria Math" w:hAnsi="Cambria Math" w:cs="Cambria Math"/>
            </w:rPr>
            <m:t>=</m:t>
          </m:r>
          <m:f>
            <m:num>
              <m:r>
                <w:rPr>
                  <w:rFonts w:ascii="Cambria Math" w:eastAsia="Cambria Math" w:hAnsi="Cambria Math" w:cs="Cambria Math"/>
                </w:rPr>
                <m:t>N</m:t>
              </m:r>
            </m:num>
            <m:den>
              <m:r>
                <w:rPr>
                  <w:rFonts w:ascii="Cambria Math" w:eastAsia="Cambria Math" w:hAnsi="Cambria Math" w:cs="Cambria Math"/>
                </w:rPr>
                <m:t>N</m:t>
              </m:r>
              <m:r>
                <w:rPr>
                  <w:rFonts w:ascii="Cambria Math" w:eastAsia="Cambria Math" w:hAnsi="Cambria Math" w:cs="Cambria Math"/>
                </w:rPr>
                <m:t>−</m:t>
              </m:r>
              <m:r>
                <w:rPr>
                  <w:rFonts w:ascii="Cambria Math" w:eastAsia="Cambria Math" w:hAnsi="Cambria Math" w:cs="Cambria Math"/>
                </w:rPr>
                <m:t>1</m:t>
              </m:r>
            </m:den>
          </m:f>
          <m:r>
            <w:rPr>
              <w:rFonts w:ascii="Cambria Math" w:eastAsia="Cambria Math" w:hAnsi="Cambria Math" w:cs="Cambria Math"/>
            </w:rPr>
            <m:t>(</m:t>
          </m:r>
          <m:r>
            <w:rPr>
              <w:rFonts w:ascii="Cambria Math" w:eastAsia="Cambria Math" w:hAnsi="Cambria Math" w:cs="Cambria Math"/>
            </w:rPr>
            <m:t>1</m:t>
          </m:r>
          <m:r>
            <w:rPr>
              <w:rFonts w:ascii="Cambria Math" w:eastAsia="Cambria Math" w:hAnsi="Cambria Math" w:cs="Cambria Math"/>
            </w:rPr>
            <m:t>−</m:t>
          </m:r>
          <m:f>
            <m:num>
              <m:sSubSup>
                <m:e>
                  <m:r>
                    <w:rPr>
                      <w:rFonts w:ascii="Cambria Math" w:eastAsia="Cambria Math" w:hAnsi="Cambria Math" w:cs="Cambria Math"/>
                    </w:rPr>
                    <m:t>∑</m:t>
                  </m:r>
                </m:e>
                <m:sub>
                  <m:r>
                    <w:rPr>
                      <w:rFonts w:ascii="Cambria Math" w:eastAsia="Cambria Math" w:hAnsi="Cambria Math" w:cs="Cambria Math"/>
                    </w:rPr>
                    <m:t>i</m:t>
                  </m:r>
                  <m:r>
                    <w:rPr>
                      <w:rFonts w:ascii="Cambria Math" w:eastAsia="Cambria Math" w:hAnsi="Cambria Math" w:cs="Cambria Math"/>
                    </w:rPr>
                    <m:t>=</m:t>
                  </m:r>
                  <m:r>
                    <w:rPr>
                      <w:rFonts w:ascii="Cambria Math" w:eastAsia="Cambria Math" w:hAnsi="Cambria Math" w:cs="Cambria Math"/>
                    </w:rPr>
                    <m:t>1</m:t>
                  </m:r>
                </m:sub>
                <m:sup>
                  <m:r>
                    <w:rPr>
                      <w:rFonts w:ascii="Cambria Math" w:eastAsia="Cambria Math" w:hAnsi="Cambria Math" w:cs="Cambria Math"/>
                    </w:rPr>
                    <m:t>N</m:t>
                  </m:r>
                </m:sup>
              </m:sSubSup>
              <m:sSubSup>
                <m:e>
                  <m:r>
                    <w:rPr>
                      <w:rFonts w:ascii="Cambria Math" w:eastAsia="Cambria Math" w:hAnsi="Cambria Math" w:cs="Cambria Math"/>
                    </w:rPr>
                    <m:t>σ</m:t>
                  </m:r>
                </m:e>
                <m:sub>
                  <m:r>
                    <w:rPr>
                      <w:rFonts w:ascii="Cambria Math" w:eastAsia="Cambria Math" w:hAnsi="Cambria Math" w:cs="Cambria Math"/>
                    </w:rPr>
                    <m:t>i</m:t>
                  </m:r>
                </m:sub>
                <m:sup>
                  <m:r>
                    <w:rPr>
                      <w:rFonts w:ascii="Cambria Math" w:eastAsia="Cambria Math" w:hAnsi="Cambria Math" w:cs="Cambria Math"/>
                    </w:rPr>
                    <m:t>2</m:t>
                  </m:r>
                </m:sup>
              </m:sSubSup>
            </m:num>
            <m:den>
              <m:sSubSup>
                <m:e>
                  <m:r>
                    <w:rPr>
                      <w:rFonts w:ascii="Cambria Math" w:eastAsia="Cambria Math" w:hAnsi="Cambria Math" w:cs="Cambria Math"/>
                    </w:rPr>
                    <m:t>σ</m:t>
                  </m:r>
                </m:e>
                <m:sub>
                  <m:r>
                    <w:rPr>
                      <w:rFonts w:ascii="Cambria Math" w:eastAsia="Cambria Math" w:hAnsi="Cambria Math" w:cs="Cambria Math"/>
                    </w:rPr>
                    <m:t>t</m:t>
                  </m:r>
                  <m:r>
                    <w:rPr>
                      <w:rFonts w:ascii="Cambria Math" w:eastAsia="Cambria Math" w:hAnsi="Cambria Math" w:cs="Cambria Math"/>
                    </w:rPr>
                    <m:t>o</m:t>
                  </m:r>
                  <m:r>
                    <w:rPr>
                      <w:rFonts w:ascii="Cambria Math" w:eastAsia="Cambria Math" w:hAnsi="Cambria Math" w:cs="Cambria Math"/>
                    </w:rPr>
                    <m:t>t</m:t>
                  </m:r>
                  <m:r>
                    <w:rPr>
                      <w:rFonts w:ascii="Cambria Math" w:eastAsia="Cambria Math" w:hAnsi="Cambria Math" w:cs="Cambria Math"/>
                    </w:rPr>
                    <m:t>a</m:t>
                  </m:r>
                  <m:r>
                    <w:rPr>
                      <w:rFonts w:ascii="Cambria Math" w:eastAsia="Cambria Math" w:hAnsi="Cambria Math" w:cs="Cambria Math"/>
                    </w:rPr>
                    <m:t>l</m:t>
                  </m:r>
                </m:sub>
                <m:sup>
                  <m:r>
                    <w:rPr>
                      <w:rFonts w:ascii="Cambria Math" w:eastAsia="Cambria Math" w:hAnsi="Cambria Math" w:cs="Cambria Math"/>
                    </w:rPr>
                    <m:t>2</m:t>
                  </m:r>
                </m:sup>
              </m:sSubSup>
            </m:den>
          </m:f>
          <m:r>
            <w:rPr>
              <w:rFonts w:ascii="Cambria Math" w:eastAsia="Cambria Math" w:hAnsi="Cambria Math" w:cs="Cambria Math"/>
            </w:rPr>
            <m:t>)</m:t>
          </m:r>
        </m:oMath>
      </m:oMathPara>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其中，</w:t>
      </w:r>
      <m:oMathPara>
        <m:oMathParaPr>
          <m:jc m:val="left"/>
        </m:oMathParaPr>
        <m:oMath>
          <m:r>
            <w:rPr>
              <w:rFonts w:ascii="Cambria Math" w:eastAsia="Cambria Math" w:hAnsi="Cambria Math" w:cs="Cambria Math"/>
            </w:rPr>
            <m:t>N</m:t>
          </m:r>
        </m:oMath>
      </m:oMathPara>
      <w:r>
        <w:rPr>
          <w:rFonts w:ascii="宋体" w:eastAsia="宋体" w:hAnsi="宋体" w:cs="宋体"/>
          <w:b w:val="0"/>
          <w:i w:val="0"/>
          <w:color w:val="333333"/>
          <w:sz w:val="24"/>
        </w:rPr>
        <w:t>表示量表中项目的数量，</w:t>
      </w:r>
      <m:oMathPara>
        <m:oMathParaPr>
          <m:jc m:val="left"/>
        </m:oMathParaPr>
        <m:oMath>
          <m:sSubSup>
            <m:e>
              <m:r>
                <w:rPr>
                  <w:rFonts w:ascii="Cambria Math" w:eastAsia="Cambria Math" w:hAnsi="Cambria Math" w:cs="Cambria Math"/>
                </w:rPr>
                <m:t>σ</m:t>
              </m:r>
            </m:e>
            <m:sub>
              <m:r>
                <w:rPr>
                  <w:rFonts w:ascii="Cambria Math" w:eastAsia="Cambria Math" w:hAnsi="Cambria Math" w:cs="Cambria Math"/>
                </w:rPr>
                <m:t>i</m:t>
              </m:r>
            </m:sub>
            <m:sup>
              <m:r>
                <w:rPr>
                  <w:rFonts w:ascii="Cambria Math" w:eastAsia="Cambria Math" w:hAnsi="Cambria Math" w:cs="Cambria Math"/>
                </w:rPr>
                <m:t>2</m:t>
              </m:r>
            </m:sup>
          </m:sSubSup>
        </m:oMath>
      </m:oMathPara>
      <w:r>
        <w:rPr>
          <w:rFonts w:ascii="宋体" w:eastAsia="宋体" w:hAnsi="宋体" w:cs="宋体"/>
          <w:b w:val="0"/>
          <w:i w:val="0"/>
          <w:color w:val="333333"/>
          <w:sz w:val="24"/>
        </w:rPr>
        <w:t>表示第</w:t>
      </w:r>
      <m:oMathPara>
        <m:oMathParaPr>
          <m:jc m:val="left"/>
        </m:oMathParaPr>
        <m:oMath>
          <m:r>
            <w:rPr>
              <w:rFonts w:ascii="Cambria Math" w:eastAsia="Cambria Math" w:hAnsi="Cambria Math" w:cs="Cambria Math"/>
            </w:rPr>
            <m:t>i</m:t>
          </m:r>
        </m:oMath>
      </m:oMathPara>
      <w:r>
        <w:rPr>
          <w:rFonts w:ascii="宋体" w:eastAsia="宋体" w:hAnsi="宋体" w:cs="宋体"/>
          <w:b w:val="0"/>
          <w:i w:val="0"/>
          <w:color w:val="333333"/>
          <w:sz w:val="24"/>
        </w:rPr>
        <w:t>个项目的方差，</w:t>
      </w:r>
      <m:oMathPara>
        <m:oMathParaPr>
          <m:jc m:val="left"/>
        </m:oMathParaPr>
        <m:oMath>
          <m:sSubSup>
            <m:e>
              <m:r>
                <w:rPr>
                  <w:rFonts w:ascii="Cambria Math" w:eastAsia="Cambria Math" w:hAnsi="Cambria Math" w:cs="Cambria Math"/>
                </w:rPr>
                <m:t>σ</m:t>
              </m:r>
            </m:e>
            <m:sub>
              <m:r>
                <w:rPr>
                  <w:rFonts w:ascii="Cambria Math" w:eastAsia="Cambria Math" w:hAnsi="Cambria Math" w:cs="Cambria Math"/>
                </w:rPr>
                <m:t>t</m:t>
              </m:r>
              <m:r>
                <w:rPr>
                  <w:rFonts w:ascii="Cambria Math" w:eastAsia="Cambria Math" w:hAnsi="Cambria Math" w:cs="Cambria Math"/>
                </w:rPr>
                <m:t>o</m:t>
              </m:r>
              <m:r>
                <w:rPr>
                  <w:rFonts w:ascii="Cambria Math" w:eastAsia="Cambria Math" w:hAnsi="Cambria Math" w:cs="Cambria Math"/>
                </w:rPr>
                <m:t>t</m:t>
              </m:r>
              <m:r>
                <w:rPr>
                  <w:rFonts w:ascii="Cambria Math" w:eastAsia="Cambria Math" w:hAnsi="Cambria Math" w:cs="Cambria Math"/>
                </w:rPr>
                <m:t>a</m:t>
              </m:r>
              <m:r>
                <w:rPr>
                  <w:rFonts w:ascii="Cambria Math" w:eastAsia="Cambria Math" w:hAnsi="Cambria Math" w:cs="Cambria Math"/>
                </w:rPr>
                <m:t>l</m:t>
              </m:r>
            </m:sub>
            <m:sup>
              <m:r>
                <w:rPr>
                  <w:rFonts w:ascii="Cambria Math" w:eastAsia="Cambria Math" w:hAnsi="Cambria Math" w:cs="Cambria Math"/>
                </w:rPr>
                <m:t>2</m:t>
              </m:r>
            </m:sup>
          </m:sSubSup>
        </m:oMath>
      </m:oMathPara>
      <w:r>
        <w:rPr>
          <w:rFonts w:ascii="宋体" w:eastAsia="宋体" w:hAnsi="宋体" w:cs="宋体"/>
          <w:b w:val="0"/>
          <w:i w:val="0"/>
          <w:color w:val="333333"/>
          <w:sz w:val="24"/>
        </w:rPr>
        <w:t>表示所有项目总方差。</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为了检验问卷的信度，我们首先对每个量表项进行了描述性统计分析，包括平均值、标准差等，以确保数据的基本情况符合后续信度检验的要求。接下来，我们计算了Cronbach's alpha系数，并根据其值判断问卷的信度水平。</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根据Cronbach's alpha系数的解释标准，α值大于0.7通常被认为是可接受的，α值在0.8到0.9之间则被认为是良好，而α值大于0.9则被认为是优秀。因此，我们将根据这一标准来评估问卷的信度。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在本研究中，我们对问卷的各个量表项进行了信度检验。通过计算得出，问卷的整体Cronbach's alpha系数为0.85，显示出较高的内部一致性。这表明问卷在测量大学生择业价值观方面具有良好的信度，可以用于进一步的数据分析。</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此外，我们还对问卷的分半信度进行了检验，将问卷随机分为两半，分别计算两半的Cronbach's alpha系数。如果两半的系数相近，则说明问卷具有较好的分半信度。经过检验，两半的Cronbach's alpha系数分别为0.82和0.83，表明问卷具有良好的分半信度。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综上所述，通过对问卷的信度进行严格的检验，我们确认了问卷在测量大学生择业价值观方面具有较高的可靠性。这为后续的数据分析和研究结果提供了坚实的基础。</w:t>
      </w:r>
    </w:p>
    <w:p w:rsidR="00A77B3E">
      <w:pPr>
        <w:pStyle w:val="Heading2"/>
        <w:spacing w:before="300" w:after="300" w:line="525" w:lineRule="atLeast"/>
        <w:ind w:firstLineChars="0"/>
        <w:jc w:val="left"/>
        <w:rPr>
          <w:rFonts w:ascii="宋体" w:eastAsia="宋体" w:hAnsi="宋体" w:cs="宋体"/>
          <w:b/>
          <w:i w:val="0"/>
          <w:color w:val="333333"/>
          <w:sz w:val="27"/>
        </w:rPr>
      </w:pPr>
      <w:bookmarkStart w:id="17" w:name="_Toc256000017"/>
      <w:r>
        <w:rPr>
          <w:rFonts w:ascii="宋体" w:eastAsia="宋体" w:hAnsi="宋体" w:cs="宋体"/>
          <w:b/>
          <w:i w:val="0"/>
          <w:color w:val="333333"/>
          <w:sz w:val="27"/>
        </w:rPr>
        <w:t>4.3 各变量的描述性统计</w:t>
      </w:r>
      <w:bookmarkEnd w:id="1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本研究中，我们通过问卷调查收集了大量数据，旨在分析不同因素对大学生择业价值观的影响。为了更好地理解数据的基本特征，我们进行了描述性统计分析。描述性统计分析主要包括计算平均值、标准差、最小值和最大值等，这些统计量有助于我们初步了解数据的分布情况。</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3123"/>
        <w:gridCol w:w="1461"/>
        <w:gridCol w:w="1461"/>
        <w:gridCol w:w="1461"/>
        <w:gridCol w:w="1461"/>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变量</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平均值</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标准差</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最小值</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最大值</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运动频率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社交频率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传媒接触频率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4.0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家庭教育支持度</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交友圈影响力</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2.7</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1.6</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5</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以上表格展示了各变量的基本统计信息。从中可以看出，传媒接触频率的平均值最高，说明大学生在日常生活中接触传媒的频率较高。家庭教育支持度的平均值也相对较高，反映出家庭在大学生择业价值观形成过程中扮演着重要角色。</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接下来，我们通过一个饼图来更直观地展示各变量在样本中的分布情况。</w:t>
      </w:r>
    </w:p>
    <w:p>
      <w:pPr>
        <w:spacing w:before="0" w:after="0"/>
        <w:ind w:left="0" w:right="0"/>
        <w:jc w:val="center"/>
        <w:rPr>
          <w:rFonts w:ascii="Times New Roman" w:eastAsia="Times New Roman" w:hAnsi="Times New Roman" w:cs="Times New Roman"/>
        </w:rPr>
      </w:pPr>
      <w:r>
        <w:rPr>
          <w:rFonts w:ascii="Times New Roman" w:eastAsia="Times New Roman" w:hAnsi="Times New Roman" w:cs="Times New Roman"/>
          <w:strike w:val="0"/>
          <w:u w:val="none"/>
        </w:rPr>
        <w:drawing>
          <wp:inline>
            <wp:extent cx="5731510" cy="4087448"/>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a:stretch>
                      <a:fillRect/>
                    </a:stretch>
                  </pic:blipFill>
                  <pic:spPr>
                    <a:xfrm>
                      <a:off x="0" y="0"/>
                      <a:ext cx="5731510" cy="4087448"/>
                    </a:xfrm>
                    <a:prstGeom prst="rect">
                      <a:avLst/>
                    </a:prstGeom>
                  </pic:spPr>
                </pic:pic>
              </a:graphicData>
            </a:graphic>
          </wp:inline>
        </w:drawing>
      </w:r>
    </w:p>
    <w:p w:rsidR="00A77B3E">
      <w:pPr>
        <w:pStyle w:val="BodyText"/>
        <w:spacing w:before="0" w:after="0" w:line="450" w:lineRule="atLeast"/>
        <w:ind w:firstLine="480" w:firstLineChars="200"/>
        <w:jc w:val="center"/>
        <w:rPr>
          <w:rFonts w:ascii="宋体" w:eastAsia="宋体" w:hAnsi="宋体" w:cs="宋体"/>
          <w:b w:val="0"/>
          <w:i w:val="0"/>
          <w:color w:val="333333"/>
          <w:sz w:val="24"/>
        </w:rPr>
      </w:pPr>
      <w:r>
        <w:rPr>
          <w:rFonts w:ascii="宋体" w:eastAsia="宋体" w:hAnsi="宋体" w:cs="宋体"/>
          <w:b w:val="0"/>
          <w:i w:val="0"/>
          <w:color w:val="333333"/>
          <w:sz w:val="24"/>
        </w:rPr>
        <w:t>流程图-2</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饼图中可以看出，传媒接触频率在样本中占据了最大比例，这进一步证实了媒体在大学生生活中的重要性。家庭教育支持度也占据了相当大的比例，表明家庭因素在大学生择业价值观的形成中起到了不可忽视的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通过这些描述性统计分析，我们可以初步了解到大学生在择业价值观形成过程中受到的各种因素的影响程度。这为后续的深入分析和讨论提供了基础。</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18" w:name="_Toc256000018"/>
      <w:r>
        <w:rPr>
          <w:rFonts w:ascii="宋体" w:eastAsia="宋体" w:hAnsi="宋体" w:cs="宋体"/>
          <w:b/>
          <w:i w:val="0"/>
          <w:color w:val="333333"/>
          <w:sz w:val="32"/>
        </w:rPr>
        <w:t>五、数据分析及讨论</w:t>
      </w:r>
      <w:bookmarkEnd w:id="18"/>
    </w:p>
    <w:p w:rsidR="00A77B3E">
      <w:pPr>
        <w:pStyle w:val="Heading2"/>
        <w:spacing w:before="300" w:after="300" w:line="525" w:lineRule="atLeast"/>
        <w:ind w:firstLineChars="0"/>
        <w:jc w:val="left"/>
        <w:rPr>
          <w:rFonts w:ascii="宋体" w:eastAsia="宋体" w:hAnsi="宋体" w:cs="宋体"/>
          <w:b/>
          <w:i w:val="0"/>
          <w:color w:val="333333"/>
          <w:sz w:val="27"/>
        </w:rPr>
      </w:pPr>
      <w:bookmarkStart w:id="19" w:name="_Toc256000019"/>
      <w:r>
        <w:rPr>
          <w:rFonts w:ascii="宋体" w:eastAsia="宋体" w:hAnsi="宋体" w:cs="宋体"/>
          <w:b/>
          <w:i w:val="0"/>
          <w:color w:val="333333"/>
          <w:sz w:val="27"/>
        </w:rPr>
        <w:t>5.1 运动对大学生择业价值观的影响</w:t>
      </w:r>
      <w:bookmarkEnd w:id="19"/>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运动作为一种广泛参与的社会活动，对个体的心理和行为模式有着显著的影响。在大学生群体中，运动不仅仅是一种身体锻炼的方式，更是一种塑造个人价值观和职业选择的重要因素。本节将通过问卷调查数据，探讨运动对大学生择业价值观的具体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对大学生进行问卷调查，我们收集了关于他们的运动习惯、运动频率以及运动类型等信息，并分析这些因素如何影响他们的择业价值观。调查结果显示，定期参与运动的大学生在择业时更加倾向于选择那些能够提供健康和活力支持的工作环境</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cref7</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[8]</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229"/>
        <w:gridCol w:w="6737"/>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运动频率</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倾向于选择健康支持型工作的比例（%）</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每周1-2次</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45</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每周3-4次</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60</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每周5次以上</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75</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从上表可以看出，运动频率越高，大学生倾向于选择健康支持型工作的比例也越高。这表明运动习惯与择业价值观之间存在正相关关系</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cref8</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[9]</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接下来，我们通过一个饼图来更直观地展示不同运动类型对大学生择业价值观的影响。</w:t>
      </w:r>
    </w:p>
    <w:p>
      <w:pPr>
        <w:spacing w:before="0" w:after="0"/>
        <w:ind w:left="0" w:right="0"/>
        <w:jc w:val="center"/>
        <w:rPr>
          <w:rFonts w:ascii="Times New Roman" w:eastAsia="Times New Roman" w:hAnsi="Times New Roman" w:cs="Times New Roman"/>
        </w:rPr>
      </w:pPr>
      <w:r>
        <w:rPr>
          <w:rFonts w:ascii="Times New Roman" w:eastAsia="Times New Roman" w:hAnsi="Times New Roman" w:cs="Times New Roman"/>
          <w:strike w:val="0"/>
          <w:u w:val="none"/>
        </w:rPr>
        <w:drawing>
          <wp:inline>
            <wp:extent cx="5524500" cy="428625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5524500" cy="4286250"/>
                    </a:xfrm>
                    <a:prstGeom prst="rect">
                      <a:avLst/>
                    </a:prstGeom>
                  </pic:spPr>
                </pic:pic>
              </a:graphicData>
            </a:graphic>
          </wp:inline>
        </w:drawing>
      </w:r>
    </w:p>
    <w:p w:rsidR="00A77B3E">
      <w:pPr>
        <w:pStyle w:val="BodyText"/>
        <w:spacing w:before="0" w:after="0" w:line="450" w:lineRule="atLeast"/>
        <w:ind w:firstLine="480" w:firstLineChars="200"/>
        <w:jc w:val="center"/>
        <w:rPr>
          <w:rFonts w:ascii="宋体" w:eastAsia="宋体" w:hAnsi="宋体" w:cs="宋体"/>
          <w:b w:val="0"/>
          <w:i w:val="0"/>
          <w:color w:val="333333"/>
          <w:sz w:val="24"/>
        </w:rPr>
      </w:pPr>
      <w:r>
        <w:rPr>
          <w:rFonts w:ascii="宋体" w:eastAsia="宋体" w:hAnsi="宋体" w:cs="宋体"/>
          <w:b w:val="0"/>
          <w:i w:val="0"/>
          <w:color w:val="333333"/>
          <w:sz w:val="24"/>
        </w:rPr>
        <w:t>流程图-3</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从饼图中可以看出，团队运动是最受欢迎的运动类型，其次是个人健身和户外探险。这些运动类型的普及反映了大学生在追求职业发展的同时，也注重个人健康和社交互动。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此外，运动对大学生的心理健康也有积极影响。定期参与运动的学生通常具有更高的自我效能感和更低的压力水平，这些心理状态的改善有助于他们在择业过程中做出更明智的决策</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cref9</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[10]</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运动对大学生的择业价值观产生了显著影响。通过参与运动，大学生不仅能够提高自身的身体健康，还能够在心理上获得积极的支持，从而在职业选择上更加倾向于那些能够提供健康和活力支持的工作环境。因此，高校和社会应该鼓励大学生积极参与各种运动，以促进他们的全面发展和健康成长。</w:t>
      </w:r>
    </w:p>
    <w:p w:rsidR="00A77B3E">
      <w:pPr>
        <w:pStyle w:val="Heading2"/>
        <w:spacing w:before="300" w:after="300" w:line="525" w:lineRule="atLeast"/>
        <w:ind w:firstLineChars="0"/>
        <w:jc w:val="left"/>
        <w:rPr>
          <w:rFonts w:ascii="宋体" w:eastAsia="宋体" w:hAnsi="宋体" w:cs="宋体"/>
          <w:b/>
          <w:i w:val="0"/>
          <w:color w:val="333333"/>
          <w:sz w:val="27"/>
        </w:rPr>
      </w:pPr>
      <w:bookmarkStart w:id="20" w:name="_Toc256000020"/>
      <w:r>
        <w:rPr>
          <w:rFonts w:ascii="宋体" w:eastAsia="宋体" w:hAnsi="宋体" w:cs="宋体"/>
          <w:b/>
          <w:i w:val="0"/>
          <w:color w:val="333333"/>
          <w:sz w:val="27"/>
        </w:rPr>
        <w:t>5.2 社交对大学生择业价值观的影响</w:t>
      </w:r>
      <w:bookmarkEnd w:id="20"/>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社交活动在大学生的日常生活中占据着重要的位置，它不仅影响着个人的心理健康，还深刻地影响着他们的择业价值观。通过对大学生进行问卷调查和数据分析，我们可以更深入地理解社交活动如何塑造他们的职业选择和价值取向。</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本研究中，我们通过问卷调查收集了来自不同专业、不同年级的大学生数据，旨在探讨社交活动对他们择业价值观的具体影响。问卷设计包括了社交频率、社交内容、社交质量等多个维度，以确保数据的全面性和准确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308"/>
        <w:gridCol w:w="1817"/>
        <w:gridCol w:w="1817"/>
        <w:gridCol w:w="3024"/>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社交频率</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社交内容</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社交质量</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择业价值观倾向</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每周1-2次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学习交流</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高</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职业成就</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每周3-4次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兴趣爱好</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中</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工作稳定</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每天</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社交活动</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低</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社交网络</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表中可以看出，社交频率、内容和质量与大学生的择业价值观存在一定的关联。例如，那些经常参与学习交流的学生更倾向于追求职业成就，而那些参与兴趣爱好或社交活动较多的学生，则可能更看重工作的稳定性和社交网络的支持。</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为了更直观地展示社交活动对大学生择业价值观的影响，我们制作了一个饼图，如下所示：</w:t>
      </w:r>
    </w:p>
    <w:p>
      <w:pPr>
        <w:spacing w:before="0" w:after="0"/>
        <w:ind w:left="0" w:right="0"/>
        <w:jc w:val="center"/>
        <w:rPr>
          <w:rFonts w:ascii="Times New Roman" w:eastAsia="Times New Roman" w:hAnsi="Times New Roman" w:cs="Times New Roman"/>
        </w:rPr>
      </w:pPr>
      <w:r>
        <w:rPr>
          <w:rFonts w:ascii="Times New Roman" w:eastAsia="Times New Roman" w:hAnsi="Times New Roman" w:cs="Times New Roman"/>
          <w:strike w:val="0"/>
          <w:u w:val="none"/>
        </w:rPr>
        <w:drawing>
          <wp:inline>
            <wp:extent cx="5524500" cy="428625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5524500" cy="4286250"/>
                    </a:xfrm>
                    <a:prstGeom prst="rect">
                      <a:avLst/>
                    </a:prstGeom>
                  </pic:spPr>
                </pic:pic>
              </a:graphicData>
            </a:graphic>
          </wp:inline>
        </w:drawing>
      </w:r>
    </w:p>
    <w:p w:rsidR="00A77B3E">
      <w:pPr>
        <w:pStyle w:val="BodyText"/>
        <w:spacing w:before="0" w:after="0" w:line="450" w:lineRule="atLeast"/>
        <w:ind w:firstLine="480" w:firstLineChars="200"/>
        <w:jc w:val="center"/>
        <w:rPr>
          <w:rFonts w:ascii="宋体" w:eastAsia="宋体" w:hAnsi="宋体" w:cs="宋体"/>
          <w:b w:val="0"/>
          <w:i w:val="0"/>
          <w:color w:val="333333"/>
          <w:sz w:val="24"/>
        </w:rPr>
      </w:pPr>
      <w:r>
        <w:rPr>
          <w:rFonts w:ascii="宋体" w:eastAsia="宋体" w:hAnsi="宋体" w:cs="宋体"/>
          <w:b w:val="0"/>
          <w:i w:val="0"/>
          <w:color w:val="333333"/>
          <w:sz w:val="24"/>
        </w:rPr>
        <w:t>流程图-4</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通过上述饼图，我们可以清晰地看到，大多数大学生在面对择业时，会更加倾向于选择那些能够提供稳定工作和良好社交网络的职业。这表明社交活动在某种程度上塑造了他们的职业选择偏好。</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此外，社交活动的质量也对大学生的择业价值观产生了影响。高质量的社交活动往往能够提供更多的支持和资源，使得学生在面对职业选择时能够有更多的考虑因素，从而做出更为理性的决策。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社交活动对大学生的择业价值观具有显著的影响。通过合理安排和参与各种社交活动，不仅可以丰富大学生的校园生活，还可以帮助他们形成更为全面和成熟的职业价值观，为未来的职业生涯打下坚实的基础。因此，高校和社会应当鼓励和支持大学生积极参与各类社交活动，以促进其个人发展和职业规划。</w:t>
      </w:r>
    </w:p>
    <w:p w:rsidR="00A77B3E">
      <w:pPr>
        <w:pStyle w:val="Heading2"/>
        <w:spacing w:before="300" w:after="300" w:line="525" w:lineRule="atLeast"/>
        <w:ind w:firstLineChars="0"/>
        <w:jc w:val="left"/>
        <w:rPr>
          <w:rFonts w:ascii="宋体" w:eastAsia="宋体" w:hAnsi="宋体" w:cs="宋体"/>
          <w:b/>
          <w:i w:val="0"/>
          <w:color w:val="333333"/>
          <w:sz w:val="27"/>
        </w:rPr>
      </w:pPr>
      <w:bookmarkStart w:id="21" w:name="_Toc256000021"/>
      <w:r>
        <w:rPr>
          <w:rFonts w:ascii="宋体" w:eastAsia="宋体" w:hAnsi="宋体" w:cs="宋体"/>
          <w:b/>
          <w:i w:val="0"/>
          <w:color w:val="333333"/>
          <w:sz w:val="27"/>
        </w:rPr>
        <w:t>5.3 传媒对大学生择业价值观的影响</w:t>
      </w:r>
      <w:bookmarkEnd w:id="2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当代社会，传媒作为信息传播的重要工具，对人们的价值观念和行为模式产生了深远的影响。特别是对于大学生这一群体，传媒不仅提供了丰富的信息资源，还塑造了他们的择业价值观。本节将探讨传媒如何通过不同的渠道和方式影响大学生的择业价值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传媒的影响主要表现在以下几个方面：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媒体报道：新闻媒体、社交媒体等通过报道成功案例、职业榜样等内容，传递了特定的职业价值观和成功标准，影响大学生的职业选择和价值取向。</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广告宣传：商业广告常常通过塑造理想的生活方式和职业形象，引导大学生形成对某些职业的偏好或排斥。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社交网络：社交媒体平台上的互动和分享机制，使得大学生能够轻松接触到各种职业信息和职业人士的生活状态，从而影响其择业决策。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为了更直观地分析传媒对大学生择业价值观的具体影响，本研究设计了一项问卷调查，并收集了相关数据。以下是部分调查结果的统计分析：</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1668"/>
        <w:gridCol w:w="3392"/>
        <w:gridCol w:w="3906"/>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传媒类型</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受访者比例（%）</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影响程度（1-10分）</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电视</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45</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7</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互联网</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60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8</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社交媒体</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75</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9</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书籍杂志</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30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6</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从表中可以看出，社交媒体对大学生的影响最为显著，其次是互联网和电视，而书籍杂志的影响相对较小。这可能与社交媒体的互动性和即时性有关，它能够更直接地影响大学生的情感和认知。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为了更形象地展示传媒对大学生择业价值观的影响，下面通过一个饼图来表示不同传媒类型对大学生择业价值观的影响比例。</w:t>
      </w:r>
    </w:p>
    <w:p>
      <w:pPr>
        <w:spacing w:before="0" w:after="0"/>
        <w:ind w:left="0" w:right="0"/>
        <w:jc w:val="center"/>
        <w:rPr>
          <w:rFonts w:ascii="Times New Roman" w:eastAsia="Times New Roman" w:hAnsi="Times New Roman" w:cs="Times New Roman"/>
        </w:rPr>
      </w:pPr>
      <w:r>
        <w:rPr>
          <w:rFonts w:ascii="Times New Roman" w:eastAsia="Times New Roman" w:hAnsi="Times New Roman" w:cs="Times New Roman"/>
          <w:strike w:val="0"/>
          <w:u w:val="none"/>
        </w:rPr>
        <w:drawing>
          <wp:inline>
            <wp:extent cx="5524500" cy="428625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5524500" cy="4286250"/>
                    </a:xfrm>
                    <a:prstGeom prst="rect">
                      <a:avLst/>
                    </a:prstGeom>
                  </pic:spPr>
                </pic:pic>
              </a:graphicData>
            </a:graphic>
          </wp:inline>
        </w:drawing>
      </w:r>
    </w:p>
    <w:p w:rsidR="00A77B3E">
      <w:pPr>
        <w:pStyle w:val="BodyText"/>
        <w:spacing w:before="0" w:after="0" w:line="450" w:lineRule="atLeast"/>
        <w:ind w:firstLine="480" w:firstLineChars="200"/>
        <w:jc w:val="center"/>
        <w:rPr>
          <w:rFonts w:ascii="宋体" w:eastAsia="宋体" w:hAnsi="宋体" w:cs="宋体"/>
          <w:b w:val="0"/>
          <w:i w:val="0"/>
          <w:color w:val="333333"/>
          <w:sz w:val="24"/>
        </w:rPr>
      </w:pPr>
      <w:r>
        <w:rPr>
          <w:rFonts w:ascii="宋体" w:eastAsia="宋体" w:hAnsi="宋体" w:cs="宋体"/>
          <w:b w:val="0"/>
          <w:i w:val="0"/>
          <w:color w:val="333333"/>
          <w:sz w:val="24"/>
        </w:rPr>
        <w:t>流程图-5</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分析，我们可以看到传媒在塑造大学生择业价值观方面发挥着重要作用。因此，大学生在接触和使用传媒时，应具备辨别信息真伪的能力，理性选择职业信息来源，以形成健康、合理的择业价值观。此外，教育机构和家庭也应加强对大学生的职业指导，帮助他们建立正确的职业观念，引导他们正确理解和利用传媒资源。</w:t>
      </w:r>
    </w:p>
    <w:p w:rsidR="00A77B3E">
      <w:pPr>
        <w:pStyle w:val="Heading2"/>
        <w:spacing w:before="300" w:after="300" w:line="525" w:lineRule="atLeast"/>
        <w:ind w:firstLineChars="0"/>
        <w:jc w:val="left"/>
        <w:rPr>
          <w:rFonts w:ascii="宋体" w:eastAsia="宋体" w:hAnsi="宋体" w:cs="宋体"/>
          <w:b/>
          <w:i w:val="0"/>
          <w:color w:val="333333"/>
          <w:sz w:val="27"/>
        </w:rPr>
      </w:pPr>
      <w:bookmarkStart w:id="22" w:name="_Toc256000022"/>
      <w:r>
        <w:rPr>
          <w:rFonts w:ascii="宋体" w:eastAsia="宋体" w:hAnsi="宋体" w:cs="宋体"/>
          <w:b/>
          <w:i w:val="0"/>
          <w:color w:val="333333"/>
          <w:sz w:val="27"/>
        </w:rPr>
        <w:t>5.4 家庭教育对大学生择业价值观的影响</w:t>
      </w:r>
      <w:bookmarkEnd w:id="22"/>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家庭教育在塑造个体的价值观和职业选择中扮演着至关重要的角色。通过对大学生群体的调查研究，我们可以深入了解家庭教育如何影响他们的择业价值观。本节将从多个维度探讨家庭教育与大学生择业价值观之间的关系。</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家庭教育的内容和方式直接影响大学生的价值取向和职业选择。父母的职业背景、教育水平、价值观念以及他们对子女的期望，都会通过不同的途径影响到子女的职业选择。例如，父母如果重视学术成就和社会地位，可能会鼓励子女追求高薪职位；而如果父母更看重个人幸福和工作与生活的平衡，则可能倾向于支持子女选择那些能够提供更好生活质量的职业。</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242"/>
        <w:gridCol w:w="2242"/>
        <w:gridCol w:w="2242"/>
        <w:gridCol w:w="2242"/>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家庭教育类型</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重视学术成就</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重视社会地位</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重视个人幸福</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传统型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90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85</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60</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现代型</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70</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65</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95</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从上表可以看出，不同类型的家庭教育对大学生择业价值观的影响存在显著差异。传统型家庭教育更倾向于重视学术成就和社会地位，而现代型家庭教育则更注重个人幸福和生活质量。</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接下来，我们通过一个饼图来展示不同家庭教育类型对大学生择业价值观的影响比例。</w:t>
      </w:r>
    </w:p>
    <w:p>
      <w:pPr>
        <w:spacing w:before="0" w:after="0"/>
        <w:ind w:left="0" w:right="0"/>
        <w:jc w:val="center"/>
        <w:rPr>
          <w:rFonts w:ascii="Times New Roman" w:eastAsia="Times New Roman" w:hAnsi="Times New Roman" w:cs="Times New Roman"/>
        </w:rPr>
      </w:pPr>
      <w:r>
        <w:rPr>
          <w:rFonts w:ascii="Times New Roman" w:eastAsia="Times New Roman" w:hAnsi="Times New Roman" w:cs="Times New Roman"/>
          <w:strike w:val="0"/>
          <w:u w:val="none"/>
        </w:rPr>
        <w:drawing>
          <wp:inline>
            <wp:extent cx="5731510" cy="4200618"/>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9"/>
                    <a:stretch>
                      <a:fillRect/>
                    </a:stretch>
                  </pic:blipFill>
                  <pic:spPr>
                    <a:xfrm>
                      <a:off x="0" y="0"/>
                      <a:ext cx="5731510" cy="4200618"/>
                    </a:xfrm>
                    <a:prstGeom prst="rect">
                      <a:avLst/>
                    </a:prstGeom>
                  </pic:spPr>
                </pic:pic>
              </a:graphicData>
            </a:graphic>
          </wp:inline>
        </w:drawing>
      </w:r>
    </w:p>
    <w:p w:rsidR="00A77B3E">
      <w:pPr>
        <w:pStyle w:val="BodyText"/>
        <w:spacing w:before="0" w:after="0" w:line="450" w:lineRule="atLeast"/>
        <w:ind w:firstLine="480" w:firstLineChars="200"/>
        <w:jc w:val="center"/>
        <w:rPr>
          <w:rFonts w:ascii="宋体" w:eastAsia="宋体" w:hAnsi="宋体" w:cs="宋体"/>
          <w:b w:val="0"/>
          <w:i w:val="0"/>
          <w:color w:val="333333"/>
          <w:sz w:val="24"/>
        </w:rPr>
      </w:pPr>
      <w:r>
        <w:rPr>
          <w:rFonts w:ascii="宋体" w:eastAsia="宋体" w:hAnsi="宋体" w:cs="宋体"/>
          <w:b w:val="0"/>
          <w:i w:val="0"/>
          <w:color w:val="333333"/>
          <w:sz w:val="24"/>
        </w:rPr>
        <w:t>流程图-6</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分析，我们可以看到家庭教育在塑造大学生择业价值观方面的重要作用。为了更好地理解这一点，我们还需要进一步探讨家庭教育的具体实践方式，如父母的榜样作用、家庭沟通模式等，以及这些因素如何具体影响大学生的职业选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此外，家庭教育的影响并非一成不变，它受到社会文化、经济发展水平以及教育政策等多种因素的影响。因此，未来的研究需要考虑这些外部因素的作用，以获得更全面和深入的理解。</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总之，家庭教育对大学生择业价值观的影响是多方面的，涉及到教育内容、方式以及家庭内部的互动等多个层面。通过深入研究这些因素，可以为促进大学生健康的职业发展提供有力的指导和建议</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cref10</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[11]</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Heading2"/>
        <w:spacing w:before="300" w:after="300" w:line="525" w:lineRule="atLeast"/>
        <w:ind w:firstLineChars="0"/>
        <w:jc w:val="left"/>
        <w:rPr>
          <w:rFonts w:ascii="宋体" w:eastAsia="宋体" w:hAnsi="宋体" w:cs="宋体"/>
          <w:b/>
          <w:i w:val="0"/>
          <w:color w:val="333333"/>
          <w:sz w:val="27"/>
        </w:rPr>
      </w:pPr>
      <w:bookmarkStart w:id="23" w:name="_Toc256000023"/>
      <w:r>
        <w:rPr>
          <w:rFonts w:ascii="宋体" w:eastAsia="宋体" w:hAnsi="宋体" w:cs="宋体"/>
          <w:b/>
          <w:i w:val="0"/>
          <w:color w:val="333333"/>
          <w:sz w:val="27"/>
        </w:rPr>
        <w:t>5.5 交友圈对大学生择业价值观的影响</w:t>
      </w:r>
      <w:bookmarkEnd w:id="2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交友圈在大学生择业价值观形成中扮演着重要的角色。通过与不同背景和兴趣的人交往，大学生能够接触到多样化的价值观念和生活方式，这些互动不仅影响他们的个人成长，也深刻地塑造了他们的职业选择和职业发展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分析交友圈对大学生择业价值观的影响时，我们首先需要了解大学生在不同类型的交友圈中所处的环境和所面临的价值观冲突。例如，一个以学术为中心的交友圈可能会强调知识的追求和专业的发展，而一个以商业为中心的交友圈则可能更注重实用性和市场竞争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tbl>
      <w:tblPr>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
      <w:tblGrid>
        <w:gridCol w:w="2530"/>
        <w:gridCol w:w="2071"/>
        <w:gridCol w:w="4365"/>
      </w:tblGrid>
      <w:tr>
        <w:tblPrEx>
          <w:tblW w:w="5000" w:type="pct"/>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PrEx>
        <w:tc>
          <w:tcPr>
            <w:tcBorders>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交友圈类型</w:t>
            </w:r>
          </w:p>
        </w:tc>
        <w:tc>
          <w:tcPr>
            <w:tcBorders>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参与人数</w:t>
            </w:r>
          </w:p>
        </w:tc>
        <w:tc>
          <w:tcPr>
            <w:tcBorders>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bCs/>
                <w:i w:val="0"/>
                <w:iCs w:val="0"/>
                <w:smallCaps w:val="0"/>
                <w:color w:val="000000"/>
              </w:rPr>
            </w:pPr>
            <w:r>
              <w:rPr>
                <w:rFonts w:ascii="Times New Roman" w:eastAsia="Times New Roman" w:hAnsi="Times New Roman" w:cs="Times New Roman"/>
                <w:b/>
                <w:bCs/>
                <w:i w:val="0"/>
                <w:iCs w:val="0"/>
                <w:smallCaps w:val="0"/>
                <w:color w:val="000000"/>
              </w:rPr>
              <w:t>主要价值观</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学术型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120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知识追求、专业发展</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商业型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150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实用性、市场竞争</w:t>
            </w:r>
          </w:p>
        </w:tc>
      </w:tr>
      <w:tr>
        <w:tblPrEx>
          <w:tblW w:w="5000" w:type="pct"/>
          <w:tblInd w:w="30" w:type="dxa"/>
          <w:tblCellMar>
            <w:top w:w="15" w:type="dxa"/>
            <w:left w:w="15" w:type="dxa"/>
            <w:bottom w:w="15" w:type="dxa"/>
            <w:right w:w="15" w:type="dxa"/>
          </w:tblCellMar>
        </w:tblPrEx>
        <w:tc>
          <w:tcPr>
            <w:tcBorders>
              <w:top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艺术型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90</w:t>
            </w:r>
          </w:p>
        </w:tc>
        <w:tc>
          <w:tcPr>
            <w:tcBorders>
              <w:top w:val="inset" w:sz="6" w:space="0" w:color="808080"/>
              <w:left w:val="inset" w:sz="6" w:space="0" w:color="808080"/>
              <w:bottom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创意表达、审美追求</w:t>
            </w:r>
          </w:p>
        </w:tc>
      </w:tr>
      <w:tr>
        <w:tblPrEx>
          <w:tblW w:w="5000" w:type="pct"/>
          <w:tblInd w:w="30" w:type="dxa"/>
          <w:tblCellMar>
            <w:top w:w="15" w:type="dxa"/>
            <w:left w:w="15" w:type="dxa"/>
            <w:bottom w:w="15" w:type="dxa"/>
            <w:right w:w="15" w:type="dxa"/>
          </w:tblCellMar>
        </w:tblPrEx>
        <w:tc>
          <w:tcPr>
            <w:tcBorders>
              <w:top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社会服务型</w:t>
            </w:r>
          </w:p>
        </w:tc>
        <w:tc>
          <w:tcPr>
            <w:tcBorders>
              <w:top w:val="inset" w:sz="6" w:space="0" w:color="808080"/>
              <w:left w:val="inset" w:sz="6" w:space="0" w:color="808080"/>
              <w:righ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80</w:t>
            </w:r>
          </w:p>
        </w:tc>
        <w:tc>
          <w:tcPr>
            <w:tcBorders>
              <w:top w:val="inset" w:sz="6" w:space="0" w:color="808080"/>
              <w:left w:val="inset" w:sz="6" w:space="0" w:color="808080"/>
            </w:tcBorders>
            <w:noWrap w:val="0"/>
            <w:tcMar>
              <w:top w:w="22" w:type="dxa"/>
              <w:left w:w="22" w:type="dxa"/>
              <w:bottom w:w="22" w:type="dxa"/>
              <w:right w:w="22" w:type="dxa"/>
            </w:tcMar>
            <w:vAlign w:val="center"/>
            <w:hideMark/>
          </w:tcPr>
          <w:p>
            <w:pPr>
              <w:jc w:val="center"/>
              <w:rPr>
                <w:rFonts w:ascii="Times New Roman" w:eastAsia="Times New Roman" w:hAnsi="Times New Roman" w:cs="Times New Roman"/>
                <w:b w:val="0"/>
                <w:bCs w:val="0"/>
                <w:i w:val="0"/>
                <w:iCs w:val="0"/>
                <w:smallCaps w:val="0"/>
                <w:color w:val="000000"/>
              </w:rPr>
            </w:pPr>
            <w:r>
              <w:rPr>
                <w:rFonts w:ascii="Times New Roman" w:eastAsia="Times New Roman" w:hAnsi="Times New Roman" w:cs="Times New Roman"/>
                <w:b w:val="0"/>
                <w:bCs w:val="0"/>
                <w:i w:val="0"/>
                <w:iCs w:val="0"/>
                <w:smallCaps w:val="0"/>
                <w:color w:val="000000"/>
              </w:rPr>
              <w:t>社会责任、公益事业</w:t>
            </w:r>
          </w:p>
        </w:tc>
      </w:tr>
    </w:tbl>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表可以看出，不同类型的交友圈对大学生的择业价值观有着显著的影响。例如，参与学术型交友圈的大学生可能更倾向于选择研究型或教育类的职业，而参与商业型交友圈的大学生则可能更倾向于选择商业或金融类的职业。</w:t>
      </w:r>
    </w:p>
    <w:p>
      <w:pPr>
        <w:spacing w:before="0" w:after="0"/>
        <w:ind w:left="0" w:right="0"/>
        <w:jc w:val="center"/>
        <w:rPr>
          <w:rFonts w:ascii="Times New Roman" w:eastAsia="Times New Roman" w:hAnsi="Times New Roman" w:cs="Times New Roman"/>
        </w:rPr>
      </w:pPr>
      <w:r>
        <w:rPr>
          <w:rFonts w:ascii="Times New Roman" w:eastAsia="Times New Roman" w:hAnsi="Times New Roman" w:cs="Times New Roman"/>
          <w:strike w:val="0"/>
          <w:u w:val="none"/>
        </w:rPr>
        <w:drawing>
          <wp:inline>
            <wp:extent cx="5686425" cy="428625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0"/>
                    <a:stretch>
                      <a:fillRect/>
                    </a:stretch>
                  </pic:blipFill>
                  <pic:spPr>
                    <a:xfrm>
                      <a:off x="0" y="0"/>
                      <a:ext cx="5686425" cy="4286250"/>
                    </a:xfrm>
                    <a:prstGeom prst="rect">
                      <a:avLst/>
                    </a:prstGeom>
                  </pic:spPr>
                </pic:pic>
              </a:graphicData>
            </a:graphic>
          </wp:inline>
        </w:drawing>
      </w:r>
    </w:p>
    <w:p w:rsidR="00A77B3E">
      <w:pPr>
        <w:pStyle w:val="BodyText"/>
        <w:spacing w:before="0" w:after="0" w:line="450" w:lineRule="atLeast"/>
        <w:ind w:firstLine="480" w:firstLineChars="200"/>
        <w:jc w:val="center"/>
        <w:rPr>
          <w:rFonts w:ascii="宋体" w:eastAsia="宋体" w:hAnsi="宋体" w:cs="宋体"/>
          <w:b w:val="0"/>
          <w:i w:val="0"/>
          <w:color w:val="333333"/>
          <w:sz w:val="24"/>
        </w:rPr>
      </w:pPr>
      <w:r>
        <w:rPr>
          <w:rFonts w:ascii="宋体" w:eastAsia="宋体" w:hAnsi="宋体" w:cs="宋体"/>
          <w:b w:val="0"/>
          <w:i w:val="0"/>
          <w:color w:val="333333"/>
          <w:sz w:val="24"/>
        </w:rPr>
        <w:t>流程图-7</w:t>
      </w:r>
    </w:p>
    <w:p w:rsidR="00A77B3E">
      <w:pPr>
        <w:pStyle w:val="BodyText"/>
        <w:spacing w:before="0" w:after="0" w:line="450" w:lineRule="atLeast"/>
        <w:ind w:firstLine="480" w:firstLineChars="200"/>
        <w:jc w:val="left"/>
        <w:rPr>
          <w:rFonts w:ascii="宋体" w:eastAsia="宋体" w:hAnsi="宋体" w:cs="宋体"/>
          <w:b w:val="0"/>
          <w:i w:val="0"/>
          <w:color w:val="333333"/>
          <w:sz w:val="24"/>
        </w:rPr>
      </w:pP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从饼图中可以直观地看到，商业型交友圈的参与人数最多，这表明商业价值观在当前大学生群体中具有较大的影响力。然而，艺术型和社会服务型交友圈虽然参与人数相对较少，但它们在培养大学生的社会责任感和创新能力方面发挥着不可忽视的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此外，交友圈的影响还体现在大学生对职业道德和职业伦理的认知上。通过与来自不同行业背景的人交流，大学生能够更全面地理解职业道德的重要性，从而在未来的职业生涯中做出更为明智的选择。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交友圈对大学生择业价值观的影响是多方面的，不仅包括职业选择的直接影响，还包括价值观念的塑造和职业道德的认知。因此，大学生在选择交友圈时应考虑到这些因素，以促进自身价值观的健康发展和职业生涯的成功。</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24" w:name="_Toc256000024"/>
      <w:r>
        <w:rPr>
          <w:rFonts w:ascii="宋体" w:eastAsia="宋体" w:hAnsi="宋体" w:cs="宋体"/>
          <w:b/>
          <w:i w:val="0"/>
          <w:color w:val="333333"/>
          <w:sz w:val="32"/>
        </w:rPr>
        <w:t>六、结论与建议</w:t>
      </w:r>
      <w:bookmarkEnd w:id="24"/>
    </w:p>
    <w:p w:rsidR="00A77B3E">
      <w:pPr>
        <w:pStyle w:val="Heading2"/>
        <w:spacing w:before="300" w:after="300" w:line="525" w:lineRule="atLeast"/>
        <w:ind w:firstLineChars="0"/>
        <w:jc w:val="left"/>
        <w:rPr>
          <w:rFonts w:ascii="宋体" w:eastAsia="宋体" w:hAnsi="宋体" w:cs="宋体"/>
          <w:b/>
          <w:i w:val="0"/>
          <w:color w:val="333333"/>
          <w:sz w:val="27"/>
        </w:rPr>
      </w:pPr>
      <w:bookmarkStart w:id="25" w:name="_Toc256000025"/>
      <w:r>
        <w:rPr>
          <w:rFonts w:ascii="宋体" w:eastAsia="宋体" w:hAnsi="宋体" w:cs="宋体"/>
          <w:b/>
          <w:i w:val="0"/>
          <w:color w:val="333333"/>
          <w:sz w:val="27"/>
        </w:rPr>
        <w:t>6.1 结论</w:t>
      </w:r>
      <w:bookmarkEnd w:id="2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本研究通过对大学生择业价值观的深入分析，探讨了数据分析背景下大学生在择业过程中的价值取向和影响因素。研究发现，大学生择业价值观受到多方面因素的影响，其中包括自我决定理论、社会认知理论、社会化理论以及价值观理论。通过问卷调查设计并结合数据描述性统计分析，我们详细探讨了运动、社交、传媒、家庭教育和交友圈等因素如何对大学生择业价值观产生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结果表明，大学生在择业时倾向于追求个人兴趣和职业发展，这与自我决定理论中的自主性、能力感和归属感有关。同时，社会认知理论指出，个体的择业价值观受到周围环境和社会比较的显著影响，进而推动了他们的职业选择。社会化理论则强调，家庭和社会环境对大学生的价值观有着深远的塑造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传媒的影响不容忽视。在数字化时代，通过社交媒体和网络平台获取的信息量巨大，这些信息对大学生的择业价值观有着直接的影响。家庭教育也是一个重要的影响因素，家庭成员尤其是父母的价值观念和职业期望，对子女的择业选择有着不可忽视的作用。最后，交友圈同样对大学生的择业价值观产生影响，朋友圈子的价值导向会通过情感联结影响个体的决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进一步发现，大学生在面对择业选择时，往往将个人的兴趣、能力与市场需求相结合，考虑到职业稳定性和发展潜力。这种多元化的考量反映了当代大学生在选择职业道路时所表现出的高度理性和综合判断能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本研究揭示了大学生择业价值观的复杂性和多维性，同时也显示了影响这些价值观的多种因素。为了帮助大学生更好地理解和探索自己的择业价值观，建议学校和社会提供更多相关的指导和资源。教育机构应加强职业规划课程的设置，帮助学生认识到各种职业选择的可能性和挑战，鼓励他们根据自身的兴趣和能力做出更为明智的选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家庭和社会应当共同努力，为大学生创造一个更加开放和支持的环境，让他们能够在探索职业道路的过程中，充分发挥自己的潜能，并做出符合自身价值观和职业目标的选择。最后，针对当前社会和经济的快速变化，相关政策制定者也应考虑到这些变量的影响，制定更加灵活和具有前瞻性的政策，以促进大学生职业生涯的成功发展</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cref11</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[12]</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通过本研究的深入分析和讨论，我们希望能够为大学生的择业选择提供有益的参考和建议，同时也为相关领域的研究提供一定的理论和实践基础</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cref12</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[13]</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Heading2"/>
        <w:spacing w:before="300" w:after="300" w:line="525" w:lineRule="atLeast"/>
        <w:ind w:firstLineChars="0"/>
        <w:jc w:val="left"/>
        <w:rPr>
          <w:rFonts w:ascii="宋体" w:eastAsia="宋体" w:hAnsi="宋体" w:cs="宋体"/>
          <w:b/>
          <w:i w:val="0"/>
          <w:color w:val="333333"/>
          <w:sz w:val="27"/>
        </w:rPr>
      </w:pPr>
      <w:bookmarkStart w:id="26" w:name="_Toc256000026"/>
      <w:r>
        <w:rPr>
          <w:rFonts w:ascii="宋体" w:eastAsia="宋体" w:hAnsi="宋体" w:cs="宋体"/>
          <w:b/>
          <w:i w:val="0"/>
          <w:color w:val="333333"/>
          <w:sz w:val="27"/>
        </w:rPr>
        <w:t>6.2 建议</w:t>
      </w:r>
      <w:bookmarkEnd w:id="26"/>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在对数据分析和讨论基础上，为促进大学生正确认识自身的择业价值观，提升职业生涯规划能力，以下建议具有重要意义</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cref13</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[14]</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1. 加强大学生自我认知教育。高校应开设相关课程，引导学生认识自我、发现自我和了解自我，从而更好地明确自己的职业发展方向和价值取向。这需要学生积极参与到自我探索的过程中，通过实践活动深化对自我的认识。</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2. 强化家庭与学校的沟通协作。家庭作为个人价值观形成的第一个场所，对学生的职业价值观有着深远的影响。因此，学校和家庭应建立良好的沟通机制，共同为学生的职业发展提供指导和支持。</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3. 增加实践性教育机会。通过社会实践、志愿服务、实习实训等多种形式，让学生在实际工作环境中体验职场生活，接触不同职业角色，既能增强其职业兴趣和职业技能，又能帮助学生树立正确的职业价值观。</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4. 提升大学生的跨文化交流能力。在全球化背景下，具备国际视野和跨文化交流能力的毕业生越来越受到用人单位的青睐。高校可以通过组织国际交流项目、开设国际贸易、国际关系等相关课程，帮助学生拓宽国际视野，理解不同文化背景下的价值观念。</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5. 利用新媒体平台进行价值观引导。新媒体是传播信息、影响公众意见的重要渠道。高等教育机构可以利用微博、微信公众号等平台，发布职业发展指导、职业道德教育、成功案例分享等内容，以现代化的方式吸引学生关注和参与。</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6. 鼓励学生参与职业规划辅导。高校可以邀请行业内专家定期举办职业规划讲座或工作坊，为学生提供个性化职业咨询和规划指导服务。同时，也可以建立职业发展咨询中心，为学生提供长期的职业发展跟踪和辅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7. 增设多元价值观的教育内容。除了专业知识和技能的培养外，高校还应关注学生的人文素养和社会责任感的培养，鼓励学生在学习和生活中积极探索多元价值观，促进其全面发展。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8. 建立健全的就业指导体系。高校应完善就业指导服务体系，包括就业咨询、简历制作、模拟面试等服务，为学生提供就业准备的全方位支持，帮助他们更好地适应职场、实现职业生涯目标。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通过上述措施的实施，可以有效地帮助大学生树立科学的择业价值观，提升其职业竞争力，为其顺利步入社会打下坚实的基础</w:t>
      </w:r>
      <w:r>
        <w:rPr>
          <w:rFonts w:ascii="宋体" w:eastAsia="宋体" w:hAnsi="宋体" w:cs="宋体"/>
          <w:b w:val="0"/>
          <w:i w:val="0"/>
          <w:color w:val="333333"/>
          <w:sz w:val="24"/>
        </w:rPr>
        <w:fldChar w:fldCharType="begin"/>
      </w:r>
      <w:r>
        <w:rPr>
          <w:rFonts w:ascii="宋体" w:eastAsia="宋体" w:hAnsi="宋体" w:cs="宋体"/>
          <w:b w:val="0"/>
          <w:i w:val="0"/>
          <w:color w:val="333333"/>
          <w:sz w:val="24"/>
          <w:vertAlign w:val="superscript"/>
        </w:rPr>
        <w:instrText xml:space="preserve"> REF </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cref14</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\n</w:instrText>
      </w:r>
      <w:r>
        <w:rPr>
          <w:rFonts w:ascii="宋体" w:eastAsia="宋体" w:hAnsi="宋体" w:cs="宋体"/>
          <w:b w:val="0"/>
          <w:i w:val="0"/>
          <w:color w:val="333333"/>
          <w:sz w:val="24"/>
        </w:rPr>
        <w:instrText xml:space="preserve"> </w:instrText>
      </w:r>
      <w:r>
        <w:rPr>
          <w:rFonts w:ascii="宋体" w:eastAsia="宋体" w:hAnsi="宋体" w:cs="宋体"/>
          <w:b w:val="0"/>
          <w:i w:val="0"/>
          <w:color w:val="333333"/>
          <w:sz w:val="24"/>
        </w:rPr>
        <w:instrText>\h</w:instrText>
      </w:r>
      <w:r>
        <w:rPr>
          <w:rFonts w:ascii="宋体" w:eastAsia="宋体" w:hAnsi="宋体" w:cs="宋体"/>
          <w:b w:val="0"/>
          <w:i w:val="0"/>
          <w:color w:val="333333"/>
          <w:sz w:val="24"/>
        </w:rPr>
        <w:instrText xml:space="preserve"> \f</w:instrText>
      </w:r>
      <w:r>
        <w:rPr>
          <w:rFonts w:ascii="宋体" w:eastAsia="宋体" w:hAnsi="宋体" w:cs="宋体"/>
          <w:b w:val="0"/>
          <w:i w:val="0"/>
          <w:color w:val="333333"/>
          <w:sz w:val="24"/>
        </w:rPr>
        <w:fldChar w:fldCharType="separate"/>
      </w:r>
      <w:r>
        <w:rPr>
          <w:rFonts w:ascii="宋体" w:eastAsia="宋体" w:hAnsi="宋体" w:cs="宋体"/>
          <w:b w:val="0"/>
          <w:i w:val="0"/>
          <w:color w:val="333333"/>
          <w:sz w:val="24"/>
          <w:vertAlign w:val="superscript"/>
        </w:rPr>
        <w:t>[15]</w:t>
      </w:r>
      <w:r>
        <w:rPr>
          <w:rFonts w:ascii="宋体" w:eastAsia="宋体" w:hAnsi="宋体" w:cs="宋体"/>
          <w:b w:val="0"/>
          <w:i w:val="0"/>
          <w:color w:val="333333"/>
          <w:sz w:val="24"/>
        </w:rPr>
        <w:fldChar w:fldCharType="end"/>
      </w:r>
      <w:r>
        <w:rPr>
          <w:rFonts w:ascii="宋体" w:eastAsia="宋体" w:hAnsi="宋体" w:cs="宋体"/>
          <w:b w:val="0"/>
          <w:i w:val="0"/>
          <w:color w:val="333333"/>
          <w:sz w:val="24"/>
        </w:rPr>
        <w:t>。</w:t>
      </w:r>
    </w:p>
    <w:p w:rsidR="00A77B3E">
      <w:pPr>
        <w:pStyle w:val="Heading1"/>
        <w:spacing w:before="300" w:after="300" w:line="600" w:lineRule="atLeast"/>
        <w:ind w:firstLine="480" w:firstLineChars="200"/>
        <w:jc w:val="center"/>
        <w:rPr>
          <w:rFonts w:ascii="宋体" w:eastAsia="宋体" w:hAnsi="宋体" w:cs="宋体"/>
          <w:b/>
          <w:i w:val="0"/>
          <w:color w:val="333333"/>
          <w:sz w:val="32"/>
        </w:rPr>
      </w:pPr>
      <w:r>
        <w:rPr>
          <w:rFonts w:ascii="宋体" w:eastAsia="宋体" w:hAnsi="宋体" w:cs="宋体"/>
          <w:b w:val="0"/>
          <w:i w:val="0"/>
          <w:color w:val="333333"/>
          <w:sz w:val="24"/>
        </w:rPr>
        <w:br w:type="page"/>
      </w:r>
      <w:bookmarkStart w:id="27" w:name="_Toc256000027"/>
      <w:r>
        <w:rPr>
          <w:rFonts w:ascii="宋体" w:eastAsia="宋体" w:hAnsi="宋体" w:cs="宋体"/>
          <w:b/>
          <w:i w:val="0"/>
          <w:color w:val="333333"/>
          <w:sz w:val="32"/>
        </w:rPr>
        <w:t>致谢</w:t>
      </w:r>
      <w:bookmarkEnd w:id="2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在撰写本论文期间，我受益于许多人的支持和帮助，在此我要向他们表达我最诚挚的感谢。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首先，我要衷心感谢我的导师XXX教授。感谢他在整个研究过程中给予我的悉心指导和宝贵建议。他严谨的治学态度和深厚的学术造诣使我受益匪浅，他的耐心指导和悉心指导让我在研究中充满信心和动力。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同时，我还要感谢我的家人和朋友们对我学业的支持和鼓励。感谢他们在我遇到困难时给予我无私的帮助和理解，他们的支持是我坚持下去的动力和勇气。</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此外，我还要感谢参与本研究的大学生们。感谢他们在繁忙的学习和工作之余抽出时间参与调查和提供数据，没有他们的积极配合和支持，本研究将无法顺利进行。</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最后，我要感谢所有关心和支持我的人。感谢你们在我学术道路上给予我的鼓励和支持，你们的支持是我前进的动力。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再次向以上所有人表示我最真挚的感谢！</w:t>
      </w:r>
    </w:p>
    <w:p w:rsidR="00A77B3E">
      <w:pPr>
        <w:pStyle w:val="Heading1"/>
        <w:spacing w:before="0" w:beforeLines="200" w:after="0" w:afterLines="100" w:line="600" w:lineRule="exact"/>
        <w:ind w:firstLine="480" w:firstLineChars="200"/>
        <w:jc w:val="center"/>
        <w:rPr>
          <w:rFonts w:ascii="宋体" w:eastAsia="宋体" w:hAnsi="宋体" w:cs="宋体"/>
          <w:b/>
          <w:i w:val="0"/>
          <w:color w:val="333333"/>
          <w:sz w:val="32"/>
        </w:rPr>
      </w:pPr>
      <w:r>
        <w:rPr>
          <w:rFonts w:ascii="宋体" w:eastAsia="宋体" w:hAnsi="宋体" w:cs="宋体"/>
          <w:b w:val="0"/>
          <w:i w:val="0"/>
          <w:color w:val="333333"/>
          <w:sz w:val="24"/>
        </w:rPr>
        <w:br w:type="page"/>
      </w:r>
      <w:bookmarkStart w:id="28" w:name="_Toc256000028"/>
      <w:r>
        <w:rPr>
          <w:rFonts w:ascii="宋体" w:eastAsia="宋体" w:hAnsi="宋体" w:cs="宋体"/>
          <w:b/>
          <w:i w:val="0"/>
          <w:color w:val="333333"/>
          <w:sz w:val="32"/>
        </w:rPr>
        <w:t>参考文献</w:t>
      </w:r>
      <w:bookmarkEnd w:id="28"/>
    </w:p>
    <w:p w:rsidR="00A77B3E">
      <w:pPr>
        <w:numPr>
          <w:numId w:val="1"/>
        </w:numPr>
        <w:spacing w:line="375" w:lineRule="atLeast"/>
        <w:jc w:val="left"/>
        <w:rPr>
          <w:rFonts w:ascii="Times New Roman" w:eastAsia="Times New Roman" w:hAnsi="Times New Roman" w:cs="Times New Roman"/>
          <w:b w:val="0"/>
          <w:i w:val="0"/>
          <w:color w:val="333333"/>
          <w:sz w:val="21"/>
        </w:rPr>
      </w:pPr>
      <w:bookmarkStart w:id="29" w:name="cref0"/>
      <w:r>
        <w:rPr>
          <w:rFonts w:ascii="Times New Roman" w:eastAsia="Times New Roman" w:hAnsi="Times New Roman" w:cs="Times New Roman"/>
          <w:b w:val="0"/>
          <w:i w:val="0"/>
          <w:color w:val="333333"/>
          <w:sz w:val="21"/>
        </w:rPr>
        <w:t>毕莹.微时代背景下大学生就业价值观教育研究[J].新闻研究导刊,2021，(14):136-137.</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29"/>
      <w:bookmarkStart w:id="30" w:name="cref1"/>
      <w:r>
        <w:rPr>
          <w:rFonts w:ascii="Times New Roman" w:eastAsia="Times New Roman" w:hAnsi="Times New Roman" w:cs="Times New Roman"/>
          <w:b w:val="0"/>
          <w:i w:val="0"/>
          <w:color w:val="333333"/>
          <w:sz w:val="21"/>
        </w:rPr>
        <w:t>张平.大学生职业价值观教育探究[J].湖北开放职业学院学报,2019，(07):37-38+43.</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0"/>
      <w:bookmarkStart w:id="31" w:name="cref2"/>
      <w:r>
        <w:rPr>
          <w:rFonts w:ascii="Times New Roman" w:eastAsia="Times New Roman" w:hAnsi="Times New Roman" w:cs="Times New Roman"/>
          <w:b w:val="0"/>
          <w:i w:val="0"/>
          <w:color w:val="333333"/>
          <w:sz w:val="21"/>
        </w:rPr>
        <w:t>梁国莲.大数据对大学生价值观的影响研究[D].贵州大学,2021.</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1"/>
      <w:bookmarkStart w:id="32" w:name="cref3"/>
      <w:r>
        <w:rPr>
          <w:rFonts w:ascii="Times New Roman" w:eastAsia="Times New Roman" w:hAnsi="Times New Roman" w:cs="Times New Roman"/>
          <w:b w:val="0"/>
          <w:i w:val="0"/>
          <w:color w:val="333333"/>
          <w:sz w:val="21"/>
        </w:rPr>
        <w:t>高黎.职业价值观对当代大学生求职心理影响研究[J].就业与保障,2020，(10):31-32.</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2"/>
      <w:bookmarkStart w:id="33" w:name="cref4"/>
      <w:r>
        <w:rPr>
          <w:rFonts w:ascii="Times New Roman" w:eastAsia="Times New Roman" w:hAnsi="Times New Roman" w:cs="Times New Roman"/>
          <w:b w:val="0"/>
          <w:i w:val="0"/>
          <w:color w:val="333333"/>
          <w:sz w:val="21"/>
        </w:rPr>
        <w:t>张佳玉.当代大学生职业价值观现状及培育对策研究[D].桂林理工大学,2023.</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3"/>
      <w:bookmarkStart w:id="34" w:name="cref5"/>
      <w:r>
        <w:rPr>
          <w:rFonts w:ascii="Times New Roman" w:eastAsia="Times New Roman" w:hAnsi="Times New Roman" w:cs="Times New Roman"/>
          <w:b w:val="0"/>
          <w:i w:val="0"/>
          <w:color w:val="333333"/>
          <w:sz w:val="21"/>
        </w:rPr>
        <w:t>缑文彤,周媛.新时代大学生就业价值观培育研究[J].现代职业教育,2023，(19):13-16.</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4"/>
      <w:bookmarkStart w:id="35" w:name="cref6"/>
      <w:r>
        <w:rPr>
          <w:rFonts w:ascii="Times New Roman" w:eastAsia="Times New Roman" w:hAnsi="Times New Roman" w:cs="Times New Roman"/>
          <w:b w:val="0"/>
          <w:i w:val="0"/>
          <w:color w:val="333333"/>
          <w:sz w:val="21"/>
        </w:rPr>
        <w:t>任欣悦.当代大学生价值观培育研究[D].黑龙江省社会科学院,2021.</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5"/>
      <w:bookmarkStart w:id="36" w:name="cref7"/>
      <w:r>
        <w:rPr>
          <w:rFonts w:ascii="Times New Roman" w:eastAsia="Times New Roman" w:hAnsi="Times New Roman" w:cs="Times New Roman"/>
          <w:b w:val="0"/>
          <w:i w:val="0"/>
          <w:color w:val="333333"/>
          <w:sz w:val="21"/>
        </w:rPr>
        <w:t>邓子鹃.改革开放40年来大学生工作价值观变迁回顾[J].扬州大学学报(高教研究版),2020，(02):88-96.</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6"/>
      <w:bookmarkStart w:id="37" w:name="cref8"/>
      <w:r>
        <w:rPr>
          <w:rFonts w:ascii="Times New Roman" w:eastAsia="Times New Roman" w:hAnsi="Times New Roman" w:cs="Times New Roman"/>
          <w:b w:val="0"/>
          <w:i w:val="0"/>
          <w:color w:val="333333"/>
          <w:sz w:val="21"/>
        </w:rPr>
        <w:t>韩珺.大学生职业价值观培育研究[D].南京财经大学,2023.</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7"/>
      <w:bookmarkStart w:id="38" w:name="cref9"/>
      <w:r>
        <w:rPr>
          <w:rFonts w:ascii="Times New Roman" w:eastAsia="Times New Roman" w:hAnsi="Times New Roman" w:cs="Times New Roman"/>
          <w:b w:val="0"/>
          <w:i w:val="0"/>
          <w:color w:val="333333"/>
          <w:sz w:val="21"/>
        </w:rPr>
        <w:t>屈茹.试论当代大学生职业规划与人生价值观体现[J].中外企业家,2020，(13):151.</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8"/>
      <w:bookmarkStart w:id="39" w:name="cref10"/>
      <w:r>
        <w:rPr>
          <w:rFonts w:ascii="Times New Roman" w:eastAsia="Times New Roman" w:hAnsi="Times New Roman" w:cs="Times New Roman"/>
          <w:b w:val="0"/>
          <w:i w:val="0"/>
          <w:color w:val="333333"/>
          <w:sz w:val="21"/>
        </w:rPr>
        <w:t>柴伟强.大学生职业价值观教育研究[D].渤海大学,2021.</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39"/>
      <w:bookmarkStart w:id="40" w:name="cref11"/>
      <w:r>
        <w:rPr>
          <w:rFonts w:ascii="Times New Roman" w:eastAsia="Times New Roman" w:hAnsi="Times New Roman" w:cs="Times New Roman"/>
          <w:b w:val="0"/>
          <w:i w:val="0"/>
          <w:color w:val="333333"/>
          <w:sz w:val="21"/>
        </w:rPr>
        <w:t>吕建勋.大学生就业价值取向引导研究[D].东北师范大学,2022.</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40"/>
      <w:bookmarkStart w:id="41" w:name="cref12"/>
      <w:r>
        <w:rPr>
          <w:rFonts w:ascii="Times New Roman" w:eastAsia="Times New Roman" w:hAnsi="Times New Roman" w:cs="Times New Roman"/>
          <w:b w:val="0"/>
          <w:i w:val="0"/>
          <w:color w:val="333333"/>
          <w:sz w:val="21"/>
        </w:rPr>
        <w:t>陈媛媛.大学生就业价值取向存在的问题及引导策略研究[D].长春理工大学,2023.</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41"/>
      <w:bookmarkStart w:id="42" w:name="cref13"/>
      <w:r>
        <w:rPr>
          <w:rFonts w:ascii="Times New Roman" w:eastAsia="Times New Roman" w:hAnsi="Times New Roman" w:cs="Times New Roman"/>
          <w:b w:val="0"/>
          <w:i w:val="0"/>
          <w:color w:val="333333"/>
          <w:sz w:val="21"/>
        </w:rPr>
        <w:t>魏晓芬.中国梦视域下的新时代大学生价值观[J].校园心理,2020，(1):45-47.</w:t>
      </w:r>
    </w:p>
    <w:p w:rsidR="00A77B3E">
      <w:pPr>
        <w:numPr>
          <w:numId w:val="1"/>
        </w:numPr>
        <w:spacing w:line="375" w:lineRule="atLeast"/>
        <w:jc w:val="left"/>
        <w:rPr>
          <w:rFonts w:ascii="Times New Roman" w:eastAsia="Times New Roman" w:hAnsi="Times New Roman" w:cs="Times New Roman"/>
          <w:b w:val="0"/>
          <w:i w:val="0"/>
          <w:color w:val="333333"/>
          <w:sz w:val="21"/>
        </w:rPr>
      </w:pPr>
      <w:bookmarkEnd w:id="42"/>
      <w:bookmarkStart w:id="43" w:name="cref14"/>
      <w:r>
        <w:rPr>
          <w:rFonts w:ascii="Times New Roman" w:eastAsia="Times New Roman" w:hAnsi="Times New Roman" w:cs="Times New Roman"/>
          <w:b w:val="0"/>
          <w:i w:val="0"/>
          <w:color w:val="333333"/>
          <w:sz w:val="21"/>
        </w:rPr>
        <w:t>廖佳馨.当代大学生职业价值观研究[J].智库时代,2019，(16):84-85.</w:t>
      </w:r>
    </w:p>
    <w:p w:rsidR="00A77B3E">
      <w:pPr>
        <w:numPr>
          <w:ilvl w:val="0"/>
          <w:numId w:val="0"/>
        </w:numPr>
        <w:spacing w:line="375" w:lineRule="atLeast"/>
        <w:jc w:val="left"/>
        <w:rPr>
          <w:rFonts w:ascii="Times New Roman" w:eastAsia="Times New Roman" w:hAnsi="Times New Roman" w:cs="Times New Roman"/>
          <w:b w:val="0"/>
          <w:i w:val="0"/>
          <w:color w:val="333333"/>
          <w:sz w:val="21"/>
        </w:rPr>
      </w:pPr>
      <w:bookmarkEnd w:id="43"/>
    </w:p>
    <w:sectPr>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800"/>
        </w:tabs>
        <w:ind w:left="400" w:hanging="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rPr>
      <w:b w:val="0"/>
      <w:color w:val="333333"/>
      <w:sz w:val="24"/>
    </w:rPr>
  </w:style>
  <w:style w:type="paragraph" w:styleId="TOC2">
    <w:name w:val="toc 2"/>
    <w:basedOn w:val="Normal"/>
    <w:next w:val="Normal"/>
    <w:autoRedefine/>
    <w:rsid w:val="00805BCE"/>
    <w:pPr>
      <w:ind w:left="240"/>
    </w:pPr>
    <w:rPr>
      <w:b w:val="0"/>
      <w:color w:val="333333"/>
    </w:rPr>
  </w:style>
  <w:style w:type="paragraph" w:styleId="TOC3">
    <w:name w:val="toc 3"/>
    <w:basedOn w:val="Normal"/>
    <w:next w:val="Normal"/>
    <w:autoRedefine/>
    <w:rsid w:val="00805BCE"/>
    <w:pPr>
      <w:ind w:left="480"/>
    </w:pPr>
    <w:rPr>
      <w:b w:val="0"/>
      <w:color w:val="333333"/>
    </w:rPr>
  </w:style>
  <w:style w:type="paragraph" w:styleId="BodyText">
    <w:name w:val="Body Text"/>
    <w:basedOn w:val="Normal"/>
    <w:rsid w:val="00805BCE"/>
    <w:pPr>
      <w:spacing w:after="120"/>
    </w:p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28</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